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0FD" w:rsidRDefault="00B900FD" w:rsidP="00EB231C"/>
    <w:p w:rsidR="00102B03" w:rsidRDefault="00102B03" w:rsidP="00EB231C"/>
    <w:p w:rsidR="00B900FD" w:rsidRDefault="00B900FD" w:rsidP="00EB231C"/>
    <w:p w:rsidR="00B900FD" w:rsidRDefault="00B900FD" w:rsidP="00EB231C"/>
    <w:p w:rsidR="00B900FD" w:rsidRDefault="00B900FD" w:rsidP="00EB231C"/>
    <w:p w:rsidR="00B900FD" w:rsidRDefault="00B900FD" w:rsidP="00EB231C"/>
    <w:p w:rsidR="00B900FD" w:rsidRDefault="00B900FD" w:rsidP="00EB231C"/>
    <w:p w:rsidR="00B900FD" w:rsidRDefault="00B900FD" w:rsidP="00EB231C"/>
    <w:p w:rsidR="00B900FD" w:rsidRPr="00EB231C" w:rsidRDefault="002C07B3" w:rsidP="00EB231C">
      <w:pPr>
        <w:pStyle w:val="TitlePage1"/>
      </w:pPr>
      <w:r w:rsidRPr="00EB231C">
        <w:t>Ryerson University</w:t>
      </w:r>
      <w:r w:rsidR="00195FCF">
        <w:t xml:space="preserve"> </w:t>
      </w:r>
    </w:p>
    <w:p w:rsidR="00B900FD" w:rsidRPr="00EB231C" w:rsidRDefault="00FE4BAA" w:rsidP="00EB231C">
      <w:pPr>
        <w:pStyle w:val="TitlePage2"/>
      </w:pPr>
      <w:r w:rsidRPr="00B77A29">
        <w:t>OUR TIME TO LEAD</w:t>
      </w:r>
    </w:p>
    <w:p w:rsidR="00B44FD7" w:rsidRPr="00B44FD7" w:rsidRDefault="00501B10" w:rsidP="00B44FD7">
      <w:pPr>
        <w:spacing w:after="480"/>
      </w:pPr>
      <w:r>
        <w:t xml:space="preserve">Academic Plan </w:t>
      </w:r>
      <w:r w:rsidR="00B44FD7" w:rsidRPr="00B44FD7">
        <w:t xml:space="preserve">2014 – 2019 </w:t>
      </w:r>
    </w:p>
    <w:p w:rsidR="00B900FD" w:rsidRPr="00B44FD7" w:rsidRDefault="002C07B3" w:rsidP="00FF33E7">
      <w:pPr>
        <w:spacing w:after="0"/>
        <w:rPr>
          <w:b/>
        </w:rPr>
      </w:pPr>
      <w:r w:rsidRPr="00B44FD7">
        <w:rPr>
          <w:b/>
        </w:rPr>
        <w:t>Office of the Provost and Vice President Academic</w:t>
      </w:r>
    </w:p>
    <w:p w:rsidR="00B900FD" w:rsidRPr="00EB231C" w:rsidRDefault="00B900FD" w:rsidP="00EB231C">
      <w:r w:rsidRPr="00EB231C">
        <w:t>June 2014</w:t>
      </w:r>
    </w:p>
    <w:p w:rsidR="00B900FD" w:rsidRDefault="00B900FD" w:rsidP="00E51985"/>
    <w:p w:rsidR="00195FCF" w:rsidRPr="00195FCF" w:rsidRDefault="00195FCF" w:rsidP="00195FCF">
      <w:pPr>
        <w:sectPr w:rsidR="00195FCF" w:rsidRPr="00195FCF" w:rsidSect="00EC302A">
          <w:footerReference w:type="default" r:id="rId9"/>
          <w:headerReference w:type="first" r:id="rId10"/>
          <w:pgSz w:w="12240" w:h="15840"/>
          <w:pgMar w:top="1440" w:right="1440" w:bottom="993" w:left="1440" w:header="720" w:footer="854" w:gutter="0"/>
          <w:cols w:space="720"/>
          <w:titlePg/>
          <w:docGrid w:linePitch="360"/>
        </w:sectPr>
      </w:pPr>
    </w:p>
    <w:p w:rsidR="006E43C2" w:rsidRDefault="006E43C2" w:rsidP="00F66C1F">
      <w:pPr>
        <w:rPr>
          <w:b/>
          <w:sz w:val="36"/>
          <w:szCs w:val="36"/>
        </w:rPr>
      </w:pPr>
      <w:r>
        <w:rPr>
          <w:b/>
          <w:sz w:val="36"/>
          <w:szCs w:val="36"/>
        </w:rPr>
        <w:lastRenderedPageBreak/>
        <w:t>Ryerson University is on a transformative path to become Canada’s leading comprehensive innovation university.</w:t>
      </w:r>
    </w:p>
    <w:p w:rsidR="0060640C" w:rsidRDefault="0060640C" w:rsidP="00F66C1F">
      <w:pPr>
        <w:rPr>
          <w:b/>
          <w:sz w:val="36"/>
          <w:szCs w:val="36"/>
        </w:rPr>
      </w:pPr>
      <w:r>
        <w:rPr>
          <w:b/>
          <w:sz w:val="36"/>
          <w:szCs w:val="36"/>
        </w:rPr>
        <w:t xml:space="preserve">It is our time to lead. </w:t>
      </w:r>
    </w:p>
    <w:p w:rsidR="00F66C1F" w:rsidRPr="006E43C2" w:rsidRDefault="00F66C1F" w:rsidP="00F66C1F">
      <w:r w:rsidRPr="006E43C2">
        <w:t>Located in the heart of one of the</w:t>
      </w:r>
      <w:r w:rsidR="00FC7F85" w:rsidRPr="006E43C2">
        <w:t xml:space="preserve"> world’s</w:t>
      </w:r>
      <w:r w:rsidRPr="006E43C2">
        <w:t xml:space="preserve"> most culturally and linguistically diverse </w:t>
      </w:r>
      <w:r w:rsidR="006107A9" w:rsidRPr="006E43C2">
        <w:t>urban centres</w:t>
      </w:r>
      <w:r w:rsidR="00FC7F85" w:rsidRPr="006E43C2">
        <w:t>,</w:t>
      </w:r>
      <w:r w:rsidRPr="006E43C2">
        <w:t xml:space="preserve"> Ryerson</w:t>
      </w:r>
      <w:r w:rsidR="004F6B7A" w:rsidRPr="006E43C2">
        <w:t>’</w:t>
      </w:r>
      <w:r w:rsidR="00367229" w:rsidRPr="006E43C2">
        <w:t>s</w:t>
      </w:r>
      <w:r w:rsidR="001867F2" w:rsidRPr="006E43C2">
        <w:t xml:space="preserve"> </w:t>
      </w:r>
      <w:r w:rsidRPr="006E43C2">
        <w:t xml:space="preserve">high quality programs </w:t>
      </w:r>
      <w:r w:rsidR="001867F2" w:rsidRPr="006E43C2">
        <w:t xml:space="preserve">and </w:t>
      </w:r>
      <w:r w:rsidRPr="006E43C2">
        <w:t>scholarly</w:t>
      </w:r>
      <w:r w:rsidR="00606FDA" w:rsidRPr="006E43C2">
        <w:t xml:space="preserve">, research and creative </w:t>
      </w:r>
      <w:r w:rsidRPr="006E43C2">
        <w:t>activities</w:t>
      </w:r>
      <w:r w:rsidR="00367229" w:rsidRPr="006E43C2">
        <w:t xml:space="preserve"> </w:t>
      </w:r>
      <w:r w:rsidRPr="006E43C2">
        <w:t xml:space="preserve">extend beyond the walls of the university. </w:t>
      </w:r>
    </w:p>
    <w:p w:rsidR="00F66C1F" w:rsidRPr="00F1230C" w:rsidRDefault="00367229" w:rsidP="00F66C1F">
      <w:r>
        <w:rPr>
          <w:rFonts w:eastAsia="Times New Roman"/>
          <w:lang w:eastAsia="en-CA"/>
        </w:rPr>
        <w:t xml:space="preserve">Ryerson is deeply connected to the city and the world beyond, </w:t>
      </w:r>
      <w:r w:rsidRPr="00F1230C">
        <w:rPr>
          <w:rFonts w:eastAsia="Times New Roman"/>
          <w:lang w:eastAsia="en-CA"/>
        </w:rPr>
        <w:t>attract</w:t>
      </w:r>
      <w:r>
        <w:rPr>
          <w:rFonts w:eastAsia="Times New Roman"/>
          <w:lang w:eastAsia="en-CA"/>
        </w:rPr>
        <w:t>ing</w:t>
      </w:r>
      <w:r w:rsidRPr="00F1230C">
        <w:rPr>
          <w:rFonts w:eastAsia="Times New Roman"/>
          <w:lang w:eastAsia="en-CA"/>
        </w:rPr>
        <w:t xml:space="preserve"> </w:t>
      </w:r>
      <w:r w:rsidR="00F66C1F" w:rsidRPr="00F1230C">
        <w:rPr>
          <w:rFonts w:eastAsia="Times New Roman"/>
          <w:lang w:eastAsia="en-CA"/>
        </w:rPr>
        <w:t>talent, opportunities and</w:t>
      </w:r>
      <w:r w:rsidR="00F66C1F">
        <w:rPr>
          <w:rFonts w:eastAsia="Times New Roman"/>
          <w:lang w:eastAsia="en-CA"/>
        </w:rPr>
        <w:t xml:space="preserve"> global</w:t>
      </w:r>
      <w:r w:rsidR="00F66C1F" w:rsidRPr="00F1230C">
        <w:rPr>
          <w:rFonts w:eastAsia="Times New Roman"/>
          <w:lang w:eastAsia="en-CA"/>
        </w:rPr>
        <w:t xml:space="preserve"> connections to </w:t>
      </w:r>
      <w:r w:rsidR="00AB734C">
        <w:rPr>
          <w:rFonts w:eastAsia="Times New Roman"/>
          <w:lang w:eastAsia="en-CA"/>
        </w:rPr>
        <w:t>the</w:t>
      </w:r>
      <w:r w:rsidR="00FC7F85">
        <w:rPr>
          <w:rFonts w:eastAsia="Times New Roman"/>
          <w:lang w:eastAsia="en-CA"/>
        </w:rPr>
        <w:t xml:space="preserve"> Greater Toronto Area</w:t>
      </w:r>
      <w:r w:rsidR="00F66C1F" w:rsidRPr="00F1230C">
        <w:rPr>
          <w:rFonts w:eastAsia="Times New Roman"/>
          <w:lang w:eastAsia="en-CA"/>
        </w:rPr>
        <w:t xml:space="preserve">. </w:t>
      </w:r>
      <w:r w:rsidR="00AC3710">
        <w:t>P</w:t>
      </w:r>
      <w:r w:rsidR="00AC3710" w:rsidRPr="00F1230C">
        <w:t xml:space="preserve">rograms and curriculum </w:t>
      </w:r>
      <w:r w:rsidR="00AD7CE6">
        <w:t xml:space="preserve">are not static; they </w:t>
      </w:r>
      <w:r w:rsidR="00AC3710" w:rsidRPr="00F1230C">
        <w:t>are relevant to changing careers, professions and scho</w:t>
      </w:r>
      <w:r w:rsidR="00AC3710">
        <w:t xml:space="preserve">larly disciplines. Students, </w:t>
      </w:r>
      <w:r w:rsidR="00AC3710" w:rsidRPr="00F1230C">
        <w:t xml:space="preserve">faculty </w:t>
      </w:r>
      <w:r w:rsidR="00AC3710">
        <w:t>and staff challenge the status quo with new solutions and new ways of thinking.</w:t>
      </w:r>
      <w:r w:rsidR="00632033">
        <w:t xml:space="preserve"> </w:t>
      </w:r>
      <w:r w:rsidR="00F66C1F" w:rsidRPr="00F1230C">
        <w:t xml:space="preserve">Longstanding </w:t>
      </w:r>
      <w:r w:rsidR="00F66C1F">
        <w:t>partnerships with community, industry</w:t>
      </w:r>
      <w:r w:rsidR="00D36004">
        <w:t>, government,</w:t>
      </w:r>
      <w:r w:rsidR="00961A02">
        <w:t xml:space="preserve"> and </w:t>
      </w:r>
      <w:r w:rsidR="00F66C1F">
        <w:t xml:space="preserve">professional practice </w:t>
      </w:r>
      <w:r w:rsidR="00606FDA">
        <w:t xml:space="preserve">drive </w:t>
      </w:r>
      <w:r w:rsidR="00F66C1F" w:rsidRPr="00F1230C">
        <w:t>research</w:t>
      </w:r>
      <w:r w:rsidR="00F66C1F">
        <w:t xml:space="preserve"> and</w:t>
      </w:r>
      <w:r w:rsidR="00F66C1F" w:rsidRPr="00F1230C">
        <w:t xml:space="preserve"> innovation </w:t>
      </w:r>
      <w:r w:rsidR="00606FDA">
        <w:t xml:space="preserve">that </w:t>
      </w:r>
      <w:r w:rsidR="00F66C1F">
        <w:t>respond</w:t>
      </w:r>
      <w:r w:rsidR="00606FDA">
        <w:t>s</w:t>
      </w:r>
      <w:r w:rsidR="00F66C1F">
        <w:t xml:space="preserve"> to real-world problems</w:t>
      </w:r>
      <w:r w:rsidR="004F6B7A">
        <w:t xml:space="preserve">. </w:t>
      </w:r>
    </w:p>
    <w:p w:rsidR="00F66C1F" w:rsidRDefault="00AD7CE6" w:rsidP="00F66C1F">
      <w:r>
        <w:t>Ryerson</w:t>
      </w:r>
      <w:r w:rsidR="00AE2EE1">
        <w:t xml:space="preserve"> recognizes that creativity and innovation should not be contained</w:t>
      </w:r>
      <w:r w:rsidR="003F6F7D">
        <w:t>.</w:t>
      </w:r>
      <w:r w:rsidR="00AE2EE1">
        <w:t xml:space="preserve"> Its </w:t>
      </w:r>
      <w:r w:rsidR="00606FDA">
        <w:t xml:space="preserve">diverse learning </w:t>
      </w:r>
      <w:r w:rsidR="00F66C1F" w:rsidRPr="00F1230C">
        <w:t>community collaborate</w:t>
      </w:r>
      <w:r w:rsidR="000C46AF">
        <w:t>s</w:t>
      </w:r>
      <w:r w:rsidR="00F66C1F" w:rsidRPr="00F1230C">
        <w:t xml:space="preserve"> </w:t>
      </w:r>
      <w:r w:rsidR="00935D9B">
        <w:t>across disciplines</w:t>
      </w:r>
      <w:r w:rsidR="00F66C1F" w:rsidRPr="00F1230C">
        <w:t xml:space="preserve"> and with external partners</w:t>
      </w:r>
      <w:r w:rsidR="00606FDA">
        <w:t>, taking</w:t>
      </w:r>
      <w:r w:rsidR="00393EE0">
        <w:t xml:space="preserve"> </w:t>
      </w:r>
      <w:r w:rsidR="00F66C1F" w:rsidRPr="00F1230C">
        <w:t xml:space="preserve">smart, calculated risks to turn </w:t>
      </w:r>
      <w:r w:rsidR="00F66C1F">
        <w:t xml:space="preserve">promising </w:t>
      </w:r>
      <w:r w:rsidR="00F66C1F" w:rsidRPr="00F1230C">
        <w:t xml:space="preserve">ideas into tangible </w:t>
      </w:r>
      <w:r w:rsidR="00F66C1F">
        <w:t xml:space="preserve">solutions, </w:t>
      </w:r>
      <w:r w:rsidR="00F66C1F" w:rsidRPr="00F1230C">
        <w:t xml:space="preserve">products, processes or services that make a positive and meaningful impact </w:t>
      </w:r>
      <w:r w:rsidR="0041008B">
        <w:t>up</w:t>
      </w:r>
      <w:r w:rsidR="00F66C1F" w:rsidRPr="00F1230C">
        <w:t>on society.</w:t>
      </w:r>
      <w:r w:rsidR="00F66C1F">
        <w:t xml:space="preserve"> </w:t>
      </w:r>
      <w:r w:rsidR="00935D9B">
        <w:t>S</w:t>
      </w:r>
      <w:r w:rsidR="00322DD2">
        <w:t xml:space="preserve">tudents </w:t>
      </w:r>
      <w:r w:rsidR="00935D9B">
        <w:t xml:space="preserve">are trusted </w:t>
      </w:r>
      <w:r w:rsidR="00322DD2">
        <w:t>to learn</w:t>
      </w:r>
      <w:r w:rsidR="00FE5758">
        <w:t xml:space="preserve">. </w:t>
      </w:r>
      <w:r w:rsidR="00606FDA">
        <w:t>I</w:t>
      </w:r>
      <w:r w:rsidR="00935D9B">
        <w:t xml:space="preserve">n their programs and </w:t>
      </w:r>
      <w:r w:rsidR="00DE05BF">
        <w:t xml:space="preserve">through </w:t>
      </w:r>
      <w:r w:rsidR="00935D9B">
        <w:t xml:space="preserve">experiential learning opportunities </w:t>
      </w:r>
      <w:r w:rsidR="00606FDA">
        <w:t xml:space="preserve">students </w:t>
      </w:r>
      <w:r w:rsidR="00645567">
        <w:t>solve complex problems, think critically and communicate clearly</w:t>
      </w:r>
      <w:r w:rsidR="00606FDA">
        <w:t xml:space="preserve">, gaining </w:t>
      </w:r>
      <w:r w:rsidR="00645567">
        <w:t xml:space="preserve">the confidence and knowledge to build careers, enter diverse professions </w:t>
      </w:r>
      <w:r w:rsidR="009D447C">
        <w:t>or</w:t>
      </w:r>
      <w:r w:rsidR="00645567">
        <w:t xml:space="preserve"> to launch their own ventures and create jobs.</w:t>
      </w:r>
      <w:r w:rsidR="00322DD2">
        <w:t xml:space="preserve"> </w:t>
      </w:r>
      <w:r w:rsidR="00F66C1F" w:rsidRPr="00F1230C">
        <w:t xml:space="preserve"> </w:t>
      </w:r>
    </w:p>
    <w:p w:rsidR="00120EA2" w:rsidRDefault="00F66C1F" w:rsidP="00F66C1F">
      <w:r w:rsidRPr="00F1230C">
        <w:t xml:space="preserve">Ryerson also challenges conventional ideas </w:t>
      </w:r>
      <w:r w:rsidR="00087D9A">
        <w:t xml:space="preserve">of </w:t>
      </w:r>
      <w:r w:rsidR="00606FDA">
        <w:t xml:space="preserve">a university </w:t>
      </w:r>
      <w:r w:rsidRPr="00F1230C">
        <w:t xml:space="preserve">by blurring the boundaries between its campus and downtown </w:t>
      </w:r>
      <w:r w:rsidR="007B621B">
        <w:t>Toronto</w:t>
      </w:r>
      <w:r w:rsidRPr="00F1230C">
        <w:t xml:space="preserve">. </w:t>
      </w:r>
      <w:r w:rsidR="00AB734C">
        <w:t>T</w:t>
      </w:r>
      <w:r w:rsidRPr="00F1230C">
        <w:t xml:space="preserve">he </w:t>
      </w:r>
      <w:proofErr w:type="spellStart"/>
      <w:r w:rsidRPr="00F1230C">
        <w:t>Mattamy</w:t>
      </w:r>
      <w:proofErr w:type="spellEnd"/>
      <w:r w:rsidRPr="00F1230C">
        <w:t xml:space="preserve"> Athletic Centre at Maple Leaf Gardens has brought an iconic building back to life</w:t>
      </w:r>
      <w:r w:rsidR="006373ED">
        <w:t>,</w:t>
      </w:r>
      <w:r w:rsidR="006373ED" w:rsidRPr="00F1230C">
        <w:t xml:space="preserve"> </w:t>
      </w:r>
      <w:r w:rsidRPr="00F1230C">
        <w:t>the Ryerson Image Centre has helped make Toronto an international photography destination</w:t>
      </w:r>
      <w:r w:rsidR="006373ED">
        <w:t>,</w:t>
      </w:r>
      <w:r w:rsidR="006373ED" w:rsidRPr="00F1230C">
        <w:t xml:space="preserve"> </w:t>
      </w:r>
      <w:r w:rsidRPr="00F1230C">
        <w:t>and the Student Learning Centre is transforming Yonge Street.</w:t>
      </w:r>
      <w:r w:rsidR="00120EA2">
        <w:t xml:space="preserve"> </w:t>
      </w:r>
    </w:p>
    <w:p w:rsidR="00120EA2" w:rsidRDefault="00120EA2" w:rsidP="00F66C1F">
      <w:r>
        <w:t>The evolution of Ryerson has positioned the university to be ready and able to take on a role in keeping with its success as a connector, builder and innovator. This is Ryerson’s time to lead.</w:t>
      </w:r>
    </w:p>
    <w:p w:rsidR="00920DF2" w:rsidRPr="00767E3D" w:rsidRDefault="00920DF2" w:rsidP="0060640C">
      <w:pPr>
        <w:sectPr w:rsidR="00920DF2" w:rsidRPr="00767E3D" w:rsidSect="00EC302A">
          <w:footerReference w:type="default" r:id="rId11"/>
          <w:pgSz w:w="12240" w:h="15840"/>
          <w:pgMar w:top="1440" w:right="1440" w:bottom="993" w:left="1440" w:header="720" w:footer="854" w:gutter="0"/>
          <w:pgNumType w:fmt="lowerRoman" w:start="1"/>
          <w:cols w:space="720"/>
          <w:docGrid w:linePitch="360"/>
        </w:sectPr>
      </w:pPr>
    </w:p>
    <w:p w:rsidR="00F425D0" w:rsidRPr="00EB231C" w:rsidRDefault="00F425D0" w:rsidP="0052726D">
      <w:pPr>
        <w:pStyle w:val="Heading1"/>
        <w:rPr>
          <w:sz w:val="28"/>
          <w:szCs w:val="28"/>
        </w:rPr>
      </w:pPr>
      <w:bookmarkStart w:id="0" w:name="_Toc387410400"/>
      <w:bookmarkStart w:id="1" w:name="_Toc262221897"/>
      <w:r w:rsidRPr="00EB231C">
        <w:lastRenderedPageBreak/>
        <w:t>Contents</w:t>
      </w:r>
      <w:bookmarkEnd w:id="0"/>
      <w:bookmarkEnd w:id="1"/>
      <w:r w:rsidRPr="00EB231C">
        <w:t xml:space="preserve"> </w:t>
      </w:r>
    </w:p>
    <w:sdt>
      <w:sdtPr>
        <w:rPr>
          <w:b/>
          <w:bCs/>
        </w:rPr>
        <w:id w:val="1689486152"/>
        <w:docPartObj>
          <w:docPartGallery w:val="Table of Contents"/>
          <w:docPartUnique/>
        </w:docPartObj>
      </w:sdtPr>
      <w:sdtEndPr>
        <w:rPr>
          <w:b w:val="0"/>
          <w:bCs w:val="0"/>
          <w:noProof/>
        </w:rPr>
      </w:sdtEndPr>
      <w:sdtContent>
        <w:p w:rsidR="009D447C" w:rsidRDefault="0005783A">
          <w:pPr>
            <w:pStyle w:val="TOC1"/>
            <w:tabs>
              <w:tab w:val="right" w:leader="dot" w:pos="9350"/>
            </w:tabs>
            <w:rPr>
              <w:rFonts w:asciiTheme="minorHAnsi" w:eastAsiaTheme="minorEastAsia" w:hAnsiTheme="minorHAnsi" w:cstheme="minorBidi"/>
              <w:noProof/>
              <w:lang w:val="en-US" w:eastAsia="ja-JP"/>
            </w:rPr>
          </w:pPr>
          <w:r>
            <w:fldChar w:fldCharType="begin"/>
          </w:r>
          <w:r w:rsidR="005F3DF6">
            <w:instrText xml:space="preserve"> TOC \o "1-3" \h \z \u </w:instrText>
          </w:r>
          <w:r>
            <w:fldChar w:fldCharType="separate"/>
          </w:r>
          <w:r w:rsidR="009D447C">
            <w:rPr>
              <w:noProof/>
            </w:rPr>
            <w:t>Ryerson’s Momentum</w:t>
          </w:r>
          <w:r w:rsidR="009D447C">
            <w:rPr>
              <w:noProof/>
            </w:rPr>
            <w:tab/>
          </w:r>
          <w:r>
            <w:rPr>
              <w:noProof/>
            </w:rPr>
            <w:fldChar w:fldCharType="begin"/>
          </w:r>
          <w:r w:rsidR="009D447C">
            <w:rPr>
              <w:noProof/>
            </w:rPr>
            <w:instrText xml:space="preserve"> PAGEREF _Toc262221898 \h </w:instrText>
          </w:r>
          <w:r>
            <w:rPr>
              <w:noProof/>
            </w:rPr>
          </w:r>
          <w:r>
            <w:rPr>
              <w:noProof/>
            </w:rPr>
            <w:fldChar w:fldCharType="separate"/>
          </w:r>
          <w:r w:rsidR="005848CF">
            <w:rPr>
              <w:noProof/>
            </w:rPr>
            <w:t>1</w:t>
          </w:r>
          <w:r>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Taking Ryerson Forward</w:t>
          </w:r>
          <w:r>
            <w:rPr>
              <w:noProof/>
            </w:rPr>
            <w:tab/>
          </w:r>
          <w:r w:rsidR="0005783A">
            <w:rPr>
              <w:noProof/>
            </w:rPr>
            <w:fldChar w:fldCharType="begin"/>
          </w:r>
          <w:r>
            <w:rPr>
              <w:noProof/>
            </w:rPr>
            <w:instrText xml:space="preserve"> PAGEREF _Toc262221903 \h </w:instrText>
          </w:r>
          <w:r w:rsidR="0005783A">
            <w:rPr>
              <w:noProof/>
            </w:rPr>
          </w:r>
          <w:r w:rsidR="0005783A">
            <w:rPr>
              <w:noProof/>
            </w:rPr>
            <w:fldChar w:fldCharType="separate"/>
          </w:r>
          <w:r w:rsidR="005848CF">
            <w:rPr>
              <w:noProof/>
            </w:rPr>
            <w:t>5</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Guided by Values</w:t>
          </w:r>
          <w:r>
            <w:rPr>
              <w:noProof/>
            </w:rPr>
            <w:tab/>
          </w:r>
          <w:r w:rsidR="0005783A">
            <w:rPr>
              <w:noProof/>
            </w:rPr>
            <w:fldChar w:fldCharType="begin"/>
          </w:r>
          <w:r>
            <w:rPr>
              <w:noProof/>
            </w:rPr>
            <w:instrText xml:space="preserve"> PAGEREF _Toc262221906 \h </w:instrText>
          </w:r>
          <w:r w:rsidR="0005783A">
            <w:rPr>
              <w:noProof/>
            </w:rPr>
          </w:r>
          <w:r w:rsidR="0005783A">
            <w:rPr>
              <w:noProof/>
            </w:rPr>
            <w:fldChar w:fldCharType="separate"/>
          </w:r>
          <w:r w:rsidR="005848CF">
            <w:rPr>
              <w:noProof/>
            </w:rPr>
            <w:t>7</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Priorities</w:t>
          </w:r>
          <w:r>
            <w:rPr>
              <w:noProof/>
            </w:rPr>
            <w:tab/>
          </w:r>
          <w:r w:rsidR="0005783A">
            <w:rPr>
              <w:noProof/>
            </w:rPr>
            <w:fldChar w:fldCharType="begin"/>
          </w:r>
          <w:r>
            <w:rPr>
              <w:noProof/>
            </w:rPr>
            <w:instrText xml:space="preserve"> PAGEREF _Toc262221910 \h </w:instrText>
          </w:r>
          <w:r w:rsidR="0005783A">
            <w:rPr>
              <w:noProof/>
            </w:rPr>
          </w:r>
          <w:r w:rsidR="0005783A">
            <w:rPr>
              <w:noProof/>
            </w:rPr>
            <w:fldChar w:fldCharType="separate"/>
          </w:r>
          <w:r w:rsidR="005848CF">
            <w:rPr>
              <w:noProof/>
            </w:rPr>
            <w:t>9</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Strategies</w:t>
          </w:r>
          <w:r>
            <w:rPr>
              <w:noProof/>
            </w:rPr>
            <w:tab/>
          </w:r>
          <w:r w:rsidR="0005783A">
            <w:rPr>
              <w:noProof/>
            </w:rPr>
            <w:fldChar w:fldCharType="begin"/>
          </w:r>
          <w:r>
            <w:rPr>
              <w:noProof/>
            </w:rPr>
            <w:instrText xml:space="preserve"> PAGEREF _Toc262221915 \h </w:instrText>
          </w:r>
          <w:r w:rsidR="0005783A">
            <w:rPr>
              <w:noProof/>
            </w:rPr>
          </w:r>
          <w:r w:rsidR="0005783A">
            <w:rPr>
              <w:noProof/>
            </w:rPr>
            <w:fldChar w:fldCharType="separate"/>
          </w:r>
          <w:r w:rsidR="005848CF">
            <w:rPr>
              <w:noProof/>
            </w:rPr>
            <w:t>14</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Measuring Success</w:t>
          </w:r>
          <w:r>
            <w:rPr>
              <w:noProof/>
            </w:rPr>
            <w:tab/>
          </w:r>
          <w:r w:rsidR="0005783A">
            <w:rPr>
              <w:noProof/>
            </w:rPr>
            <w:fldChar w:fldCharType="begin"/>
          </w:r>
          <w:r>
            <w:rPr>
              <w:noProof/>
            </w:rPr>
            <w:instrText xml:space="preserve"> PAGEREF _Toc262221919 \h </w:instrText>
          </w:r>
          <w:r w:rsidR="0005783A">
            <w:rPr>
              <w:noProof/>
            </w:rPr>
          </w:r>
          <w:r w:rsidR="0005783A">
            <w:rPr>
              <w:noProof/>
            </w:rPr>
            <w:fldChar w:fldCharType="separate"/>
          </w:r>
          <w:r w:rsidR="005848CF">
            <w:rPr>
              <w:noProof/>
            </w:rPr>
            <w:t>25</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Integrated Planning in Action</w:t>
          </w:r>
          <w:r>
            <w:rPr>
              <w:noProof/>
            </w:rPr>
            <w:tab/>
          </w:r>
          <w:r w:rsidR="0005783A">
            <w:rPr>
              <w:noProof/>
            </w:rPr>
            <w:fldChar w:fldCharType="begin"/>
          </w:r>
          <w:r>
            <w:rPr>
              <w:noProof/>
            </w:rPr>
            <w:instrText xml:space="preserve"> PAGEREF _Toc262221920 \h </w:instrText>
          </w:r>
          <w:r w:rsidR="0005783A">
            <w:rPr>
              <w:noProof/>
            </w:rPr>
          </w:r>
          <w:r w:rsidR="0005783A">
            <w:rPr>
              <w:noProof/>
            </w:rPr>
            <w:fldChar w:fldCharType="separate"/>
          </w:r>
          <w:r w:rsidR="005848CF">
            <w:rPr>
              <w:noProof/>
            </w:rPr>
            <w:t>26</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A Passionate and Engaged Community</w:t>
          </w:r>
          <w:r>
            <w:rPr>
              <w:noProof/>
            </w:rPr>
            <w:tab/>
          </w:r>
          <w:r w:rsidR="0005783A">
            <w:rPr>
              <w:noProof/>
            </w:rPr>
            <w:fldChar w:fldCharType="begin"/>
          </w:r>
          <w:r>
            <w:rPr>
              <w:noProof/>
            </w:rPr>
            <w:instrText xml:space="preserve"> PAGEREF _Toc262221922 \h </w:instrText>
          </w:r>
          <w:r w:rsidR="0005783A">
            <w:rPr>
              <w:noProof/>
            </w:rPr>
          </w:r>
          <w:r w:rsidR="0005783A">
            <w:rPr>
              <w:noProof/>
            </w:rPr>
            <w:fldChar w:fldCharType="separate"/>
          </w:r>
          <w:r w:rsidR="005848CF">
            <w:rPr>
              <w:noProof/>
            </w:rPr>
            <w:t>27</w:t>
          </w:r>
          <w:r w:rsidR="0005783A">
            <w:rPr>
              <w:noProof/>
            </w:rPr>
            <w:fldChar w:fldCharType="end"/>
          </w:r>
        </w:p>
        <w:p w:rsidR="009D447C" w:rsidRDefault="009D447C">
          <w:pPr>
            <w:pStyle w:val="TOC1"/>
            <w:tabs>
              <w:tab w:val="right" w:leader="dot" w:pos="9350"/>
            </w:tabs>
            <w:rPr>
              <w:rFonts w:asciiTheme="minorHAnsi" w:eastAsiaTheme="minorEastAsia" w:hAnsiTheme="minorHAnsi" w:cstheme="minorBidi"/>
              <w:noProof/>
              <w:lang w:val="en-US" w:eastAsia="ja-JP"/>
            </w:rPr>
          </w:pPr>
          <w:r>
            <w:rPr>
              <w:noProof/>
            </w:rPr>
            <w:t>Strategies Matrix</w:t>
          </w:r>
          <w:r>
            <w:rPr>
              <w:noProof/>
            </w:rPr>
            <w:tab/>
          </w:r>
          <w:r w:rsidR="0005783A">
            <w:rPr>
              <w:noProof/>
            </w:rPr>
            <w:fldChar w:fldCharType="begin"/>
          </w:r>
          <w:r>
            <w:rPr>
              <w:noProof/>
            </w:rPr>
            <w:instrText xml:space="preserve"> PAGEREF _Toc262221926 \h </w:instrText>
          </w:r>
          <w:r w:rsidR="0005783A">
            <w:rPr>
              <w:noProof/>
            </w:rPr>
          </w:r>
          <w:r w:rsidR="0005783A">
            <w:rPr>
              <w:noProof/>
            </w:rPr>
            <w:fldChar w:fldCharType="separate"/>
          </w:r>
          <w:r w:rsidR="005848CF">
            <w:rPr>
              <w:noProof/>
            </w:rPr>
            <w:t>29</w:t>
          </w:r>
          <w:r w:rsidR="0005783A">
            <w:rPr>
              <w:noProof/>
            </w:rPr>
            <w:fldChar w:fldCharType="end"/>
          </w:r>
        </w:p>
        <w:p w:rsidR="005F3DF6" w:rsidRDefault="0005783A">
          <w:r>
            <w:rPr>
              <w:b/>
              <w:bCs/>
              <w:noProof/>
            </w:rPr>
            <w:fldChar w:fldCharType="end"/>
          </w:r>
        </w:p>
      </w:sdtContent>
    </w:sdt>
    <w:p w:rsidR="004E707F" w:rsidRPr="00EB231C" w:rsidRDefault="004E707F" w:rsidP="00EB231C"/>
    <w:p w:rsidR="004E707F" w:rsidRPr="00EB231C" w:rsidRDefault="004E707F" w:rsidP="00EB231C"/>
    <w:p w:rsidR="006C70F5" w:rsidRPr="00EB231C" w:rsidRDefault="006C70F5" w:rsidP="00E51985">
      <w:pPr>
        <w:sectPr w:rsidR="006C70F5" w:rsidRPr="00EB231C" w:rsidSect="005F3955">
          <w:pgSz w:w="12240" w:h="15840"/>
          <w:pgMar w:top="1440" w:right="1440" w:bottom="993" w:left="1440" w:header="720" w:footer="854" w:gutter="0"/>
          <w:pgNumType w:fmt="lowerRoman"/>
          <w:cols w:space="720"/>
          <w:docGrid w:linePitch="360"/>
        </w:sectPr>
      </w:pPr>
    </w:p>
    <w:p w:rsidR="00F425D0" w:rsidRPr="00EB231C" w:rsidRDefault="006503D7" w:rsidP="0052726D">
      <w:pPr>
        <w:pStyle w:val="Heading1"/>
      </w:pPr>
      <w:bookmarkStart w:id="2" w:name="_Toc262221898"/>
      <w:r w:rsidRPr="0052726D">
        <w:lastRenderedPageBreak/>
        <w:t>Ryerson</w:t>
      </w:r>
      <w:r w:rsidR="0052726D">
        <w:t>’s</w:t>
      </w:r>
      <w:r w:rsidRPr="00EB231C">
        <w:t xml:space="preserve"> Momentum</w:t>
      </w:r>
      <w:bookmarkEnd w:id="2"/>
      <w:r w:rsidRPr="00EB231C">
        <w:t xml:space="preserve"> </w:t>
      </w:r>
    </w:p>
    <w:p w:rsidR="00A266B5" w:rsidRDefault="005C5D25" w:rsidP="00CE1760">
      <w:r w:rsidRPr="00387BD8">
        <w:t>In two decades, Ryerson</w:t>
      </w:r>
      <w:r w:rsidR="006E5890">
        <w:t xml:space="preserve"> University</w:t>
      </w:r>
      <w:r w:rsidRPr="00387BD8">
        <w:t xml:space="preserve"> has transformed </w:t>
      </w:r>
      <w:r w:rsidR="00937DD5">
        <w:t xml:space="preserve">into </w:t>
      </w:r>
      <w:r w:rsidRPr="00387BD8">
        <w:t xml:space="preserve">a comprehensive university with an array of undergraduate, master’s and doctoral programs </w:t>
      </w:r>
      <w:r w:rsidR="00FE5758">
        <w:t>and</w:t>
      </w:r>
      <w:r w:rsidR="00387BD8">
        <w:t xml:space="preserve"> </w:t>
      </w:r>
      <w:r w:rsidR="00783B4E">
        <w:t>diverse</w:t>
      </w:r>
      <w:r w:rsidR="00570136">
        <w:t xml:space="preserve"> </w:t>
      </w:r>
      <w:r w:rsidRPr="00387BD8">
        <w:t xml:space="preserve">scholarly, research and creative (SRC) </w:t>
      </w:r>
      <w:r w:rsidR="00387BD8" w:rsidRPr="00387BD8">
        <w:t>activi</w:t>
      </w:r>
      <w:r w:rsidR="00387BD8">
        <w:t>ties</w:t>
      </w:r>
      <w:r w:rsidRPr="00387BD8">
        <w:t xml:space="preserve">. </w:t>
      </w:r>
      <w:r w:rsidRPr="00387BD8">
        <w:rPr>
          <w:i/>
        </w:rPr>
        <w:t xml:space="preserve">Shaping </w:t>
      </w:r>
      <w:r w:rsidR="00961A02">
        <w:rPr>
          <w:i/>
        </w:rPr>
        <w:t>O</w:t>
      </w:r>
      <w:r w:rsidR="00961A02" w:rsidRPr="00387BD8">
        <w:rPr>
          <w:i/>
        </w:rPr>
        <w:t xml:space="preserve">ur </w:t>
      </w:r>
      <w:r w:rsidRPr="00387BD8">
        <w:rPr>
          <w:i/>
        </w:rPr>
        <w:t>Future,</w:t>
      </w:r>
      <w:r w:rsidRPr="00387BD8">
        <w:t xml:space="preserve"> the university’s 2008-13 academic </w:t>
      </w:r>
      <w:proofErr w:type="gramStart"/>
      <w:r w:rsidRPr="00387BD8">
        <w:t>plan</w:t>
      </w:r>
      <w:proofErr w:type="gramEnd"/>
      <w:r w:rsidRPr="00387BD8">
        <w:t xml:space="preserve">, identified priorities that contributed to Ryerson’s remarkable success and development. The dedicated efforts of </w:t>
      </w:r>
      <w:r w:rsidR="00387BD8">
        <w:t>countless</w:t>
      </w:r>
      <w:r w:rsidR="00387BD8" w:rsidRPr="00387BD8">
        <w:t xml:space="preserve"> </w:t>
      </w:r>
      <w:r w:rsidRPr="00387BD8">
        <w:t xml:space="preserve">talented people moved Ryerson far beyond the expectations set by </w:t>
      </w:r>
      <w:r w:rsidR="00FE5758" w:rsidRPr="00387BD8">
        <w:t>th</w:t>
      </w:r>
      <w:r w:rsidR="00FE5758">
        <w:t>at</w:t>
      </w:r>
      <w:r w:rsidR="00FE5758" w:rsidRPr="00387BD8">
        <w:t xml:space="preserve"> </w:t>
      </w:r>
      <w:r w:rsidRPr="00387BD8">
        <w:t>plan.</w:t>
      </w:r>
    </w:p>
    <w:p w:rsidR="00A266B5" w:rsidRDefault="00A266B5" w:rsidP="00CE1760">
      <w:r>
        <w:t xml:space="preserve">This academic plan builds </w:t>
      </w:r>
      <w:r w:rsidR="00B35CB7">
        <w:t>upon Ryerson’</w:t>
      </w:r>
      <w:r>
        <w:t xml:space="preserve">s proud </w:t>
      </w:r>
      <w:r w:rsidR="00B35CB7">
        <w:t>traditions</w:t>
      </w:r>
      <w:r w:rsidR="009D447C">
        <w:t xml:space="preserve"> and its position as a leading post-secondary institution</w:t>
      </w:r>
      <w:r w:rsidR="007B621B">
        <w:t xml:space="preserve">. It </w:t>
      </w:r>
      <w:r>
        <w:t xml:space="preserve">expands the university’s strengths for relevant programs and SRC activities, its </w:t>
      </w:r>
      <w:r w:rsidR="00A4394B">
        <w:t xml:space="preserve">engaging </w:t>
      </w:r>
      <w:r>
        <w:t xml:space="preserve">learning and teaching environment that integrates theory with practice and strong relationships with external communities. </w:t>
      </w:r>
    </w:p>
    <w:p w:rsidR="00071C05" w:rsidRDefault="00071C05" w:rsidP="00071C05">
      <w:pPr>
        <w:pStyle w:val="Heading2"/>
      </w:pPr>
      <w:bookmarkStart w:id="3" w:name="_Toc387410402"/>
      <w:bookmarkStart w:id="4" w:name="_Toc262221899"/>
      <w:r>
        <w:t>Reputation for Excellence</w:t>
      </w:r>
      <w:bookmarkEnd w:id="3"/>
      <w:bookmarkEnd w:id="4"/>
    </w:p>
    <w:p w:rsidR="00CE1760" w:rsidRPr="00EB231C" w:rsidRDefault="00CE1760" w:rsidP="00CE1760">
      <w:r w:rsidRPr="00EB231C">
        <w:t>Ryerson has earned a reputation for high-quality</w:t>
      </w:r>
      <w:r w:rsidR="00A4394B">
        <w:t>,</w:t>
      </w:r>
      <w:r w:rsidRPr="00EB231C">
        <w:t xml:space="preserve"> professional and career-related education and </w:t>
      </w:r>
      <w:r>
        <w:t xml:space="preserve">responsive </w:t>
      </w:r>
      <w:r w:rsidRPr="00EB231C">
        <w:t>SRC activity, and its programs are in high demand. As of the 201</w:t>
      </w:r>
      <w:r>
        <w:t>3</w:t>
      </w:r>
      <w:r w:rsidRPr="00EB231C">
        <w:t>-1</w:t>
      </w:r>
      <w:r>
        <w:t>4</w:t>
      </w:r>
      <w:r w:rsidRPr="00EB231C">
        <w:t xml:space="preserve"> academic </w:t>
      </w:r>
      <w:proofErr w:type="gramStart"/>
      <w:r w:rsidRPr="00EB231C">
        <w:t>year</w:t>
      </w:r>
      <w:proofErr w:type="gramEnd"/>
      <w:r w:rsidRPr="00EB231C">
        <w:t xml:space="preserve"> it </w:t>
      </w:r>
      <w:r>
        <w:t>had</w:t>
      </w:r>
      <w:r w:rsidRPr="00EB231C">
        <w:t xml:space="preserve"> grown to 40,000 students</w:t>
      </w:r>
      <w:r>
        <w:t xml:space="preserve"> with 140,000 alumni worldwide</w:t>
      </w:r>
      <w:r w:rsidR="00A4394B">
        <w:t>. M</w:t>
      </w:r>
      <w:r w:rsidRPr="00EB231C">
        <w:t>ore than 100 undergraduate, master’s and PhD programs</w:t>
      </w:r>
      <w:r w:rsidR="0041008B">
        <w:t xml:space="preserve"> </w:t>
      </w:r>
      <w:r w:rsidR="00A4394B">
        <w:t xml:space="preserve">are offered </w:t>
      </w:r>
      <w:r w:rsidR="0041008B">
        <w:t>across</w:t>
      </w:r>
      <w:r w:rsidR="008A4746">
        <w:t xml:space="preserve"> </w:t>
      </w:r>
      <w:r w:rsidR="0041008B">
        <w:t xml:space="preserve">a </w:t>
      </w:r>
      <w:r w:rsidR="00783B4E">
        <w:t xml:space="preserve">wide </w:t>
      </w:r>
      <w:r w:rsidR="0041008B">
        <w:t>range of disciplines from arts and humanities to science and engineering</w:t>
      </w:r>
      <w:r w:rsidRPr="00EB231C">
        <w:t>. Ryerson has become the first choice for more undergraduate applicants than any other Ontario university relative to available spaces</w:t>
      </w:r>
      <w:r w:rsidR="00A266B5">
        <w:t xml:space="preserve">. In a relatively short </w:t>
      </w:r>
      <w:r w:rsidR="007B621B">
        <w:t xml:space="preserve">10-year </w:t>
      </w:r>
      <w:r w:rsidR="00A266B5">
        <w:t xml:space="preserve">span, graduate education has </w:t>
      </w:r>
      <w:r w:rsidR="007B621B">
        <w:t xml:space="preserve">become </w:t>
      </w:r>
      <w:r w:rsidR="00E961BA">
        <w:t xml:space="preserve">firmly </w:t>
      </w:r>
      <w:r w:rsidR="00A266B5">
        <w:t xml:space="preserve">established; </w:t>
      </w:r>
      <w:r w:rsidR="008A4746">
        <w:t>last year, six applications</w:t>
      </w:r>
      <w:r w:rsidR="00A266B5">
        <w:t xml:space="preserve"> were received</w:t>
      </w:r>
      <w:r w:rsidR="008A4746">
        <w:t xml:space="preserve"> for every available graduate space</w:t>
      </w:r>
      <w:r w:rsidRPr="00EB231C">
        <w:t>. Nearly all of its undergraduate programs</w:t>
      </w:r>
      <w:r>
        <w:t>, and many of its graduate programs,</w:t>
      </w:r>
      <w:r w:rsidRPr="00EB231C">
        <w:t xml:space="preserve"> provide experiential learning – a hallmark of Ryerson’s </w:t>
      </w:r>
      <w:r>
        <w:t>educational</w:t>
      </w:r>
      <w:r w:rsidRPr="00EB231C">
        <w:t xml:space="preserve"> experience</w:t>
      </w:r>
      <w:r>
        <w:t xml:space="preserve">. Ryerson has pursued professional accreditation where it is available; today </w:t>
      </w:r>
      <w:r w:rsidRPr="00EB231C">
        <w:t xml:space="preserve">two-thirds of its undergraduate students are </w:t>
      </w:r>
      <w:r>
        <w:t xml:space="preserve">enrolled in </w:t>
      </w:r>
      <w:r w:rsidRPr="00EB231C">
        <w:t>accredited programs. Ryerson is a leader in online university education in Ontario, and home to The G. Raymond Chang School of Continuing Education, Canada’s largest continuing education provider with over 1,</w:t>
      </w:r>
      <w:r>
        <w:t>5</w:t>
      </w:r>
      <w:r w:rsidRPr="00EB231C">
        <w:t>00 courses</w:t>
      </w:r>
      <w:r>
        <w:t>, seminars and workshops,</w:t>
      </w:r>
      <w:r w:rsidRPr="00EB231C">
        <w:t xml:space="preserve"> and </w:t>
      </w:r>
      <w:r>
        <w:t>9</w:t>
      </w:r>
      <w:r w:rsidRPr="00EB231C">
        <w:t xml:space="preserve">0 certificate programs to promote lifelong learning. </w:t>
      </w:r>
    </w:p>
    <w:p w:rsidR="00CE1760" w:rsidRPr="00387BD8" w:rsidRDefault="00CE1760" w:rsidP="005C5D25">
      <w:r w:rsidRPr="00EB231C">
        <w:t xml:space="preserve">Ryerson’s SRC activity, local and international partnerships, and external funding are growing steadily and contributing to its rising reputation. Total research funding doubled between 2008 and </w:t>
      </w:r>
      <w:proofErr w:type="gramStart"/>
      <w:r w:rsidRPr="00EB231C">
        <w:t>2013,</w:t>
      </w:r>
      <w:proofErr w:type="gramEnd"/>
      <w:r w:rsidRPr="00EB231C">
        <w:t xml:space="preserve"> and in 2012-13, Ryerson ranked fifth in sponsored research among Ontario non-medical/doctoral universities. In addition, Ryerson has established academic and research partnerships with over 132 institutions in 34 countries.</w:t>
      </w:r>
    </w:p>
    <w:p w:rsidR="00F4685A" w:rsidRDefault="00F4685A" w:rsidP="00E51985">
      <w:bookmarkStart w:id="5" w:name="_Toc387410403"/>
    </w:p>
    <w:p w:rsidR="00387BD8" w:rsidRPr="00F66C1F" w:rsidRDefault="00387BD8" w:rsidP="00F664AE">
      <w:pPr>
        <w:pStyle w:val="Heading2"/>
      </w:pPr>
      <w:bookmarkStart w:id="6" w:name="_Toc262221900"/>
      <w:r w:rsidRPr="00F66C1F">
        <w:lastRenderedPageBreak/>
        <w:t>Social</w:t>
      </w:r>
      <w:r w:rsidR="00913507">
        <w:t>,</w:t>
      </w:r>
      <w:r w:rsidR="00E328C8">
        <w:t xml:space="preserve"> Cultural</w:t>
      </w:r>
      <w:r w:rsidR="001E2492">
        <w:t xml:space="preserve"> and</w:t>
      </w:r>
      <w:r w:rsidRPr="00F66C1F">
        <w:t xml:space="preserve"> Economic</w:t>
      </w:r>
      <w:r w:rsidR="00913507">
        <w:t xml:space="preserve"> </w:t>
      </w:r>
      <w:r w:rsidRPr="00F66C1F">
        <w:t>Impact</w:t>
      </w:r>
      <w:bookmarkEnd w:id="5"/>
      <w:bookmarkEnd w:id="6"/>
    </w:p>
    <w:p w:rsidR="00387BD8" w:rsidRDefault="00387BD8" w:rsidP="00387BD8">
      <w:r w:rsidRPr="00245931">
        <w:t xml:space="preserve">Ryerson’s approach to responding to the </w:t>
      </w:r>
      <w:r w:rsidR="00087D9A">
        <w:t xml:space="preserve">complex and </w:t>
      </w:r>
      <w:r w:rsidR="00245931">
        <w:t>rapidly evolving</w:t>
      </w:r>
      <w:r w:rsidR="00245931" w:rsidRPr="00245931">
        <w:t xml:space="preserve"> </w:t>
      </w:r>
      <w:r w:rsidRPr="00245931">
        <w:t>needs of society is distinct from that of other post-secondary institutions</w:t>
      </w:r>
      <w:r w:rsidR="00245931">
        <w:t>.</w:t>
      </w:r>
      <w:r w:rsidRPr="00245931">
        <w:t xml:space="preserve"> </w:t>
      </w:r>
      <w:r w:rsidR="007632CF">
        <w:t xml:space="preserve">The university’s </w:t>
      </w:r>
      <w:r w:rsidR="00295C5A">
        <w:t>urban context is a</w:t>
      </w:r>
      <w:r w:rsidR="00A4394B">
        <w:t>n</w:t>
      </w:r>
      <w:r w:rsidR="00295C5A">
        <w:t xml:space="preserve"> advantage</w:t>
      </w:r>
      <w:r w:rsidR="00A4394B">
        <w:t xml:space="preserve"> and influences</w:t>
      </w:r>
      <w:r w:rsidR="00295C5A">
        <w:t xml:space="preserve"> </w:t>
      </w:r>
      <w:r w:rsidR="00A4394B">
        <w:t xml:space="preserve">how students and faculty </w:t>
      </w:r>
      <w:r w:rsidR="00295C5A">
        <w:t>learn and teach, engage in creative practice</w:t>
      </w:r>
      <w:r w:rsidR="00A4394B">
        <w:t>,</w:t>
      </w:r>
      <w:r w:rsidR="00295C5A">
        <w:t xml:space="preserve"> and </w:t>
      </w:r>
      <w:r w:rsidR="00C750E0">
        <w:t>pursue</w:t>
      </w:r>
      <w:r w:rsidR="00F52746">
        <w:t xml:space="preserve"> research and innovation; the local urban focus also makes </w:t>
      </w:r>
      <w:r w:rsidR="00295C5A">
        <w:t xml:space="preserve">the university globally relevant. </w:t>
      </w:r>
      <w:r w:rsidR="00087D9A">
        <w:t>The Ryerson experience</w:t>
      </w:r>
      <w:r w:rsidR="007632CF">
        <w:t xml:space="preserve"> is multifaceted.</w:t>
      </w:r>
      <w:r w:rsidR="00087D9A">
        <w:t xml:space="preserve"> </w:t>
      </w:r>
      <w:r w:rsidR="007632CF">
        <w:t xml:space="preserve">It </w:t>
      </w:r>
      <w:r w:rsidR="00087D9A">
        <w:t xml:space="preserve">emphasizes basic </w:t>
      </w:r>
      <w:r w:rsidR="00245931">
        <w:t xml:space="preserve">and </w:t>
      </w:r>
      <w:r w:rsidRPr="00245931">
        <w:t xml:space="preserve">applied </w:t>
      </w:r>
      <w:r w:rsidR="00245931">
        <w:t xml:space="preserve">research, creative endeavours and scholarly activities </w:t>
      </w:r>
      <w:r w:rsidR="00087D9A">
        <w:t xml:space="preserve">that </w:t>
      </w:r>
      <w:r w:rsidR="00245931">
        <w:t>respond to</w:t>
      </w:r>
      <w:r w:rsidRPr="00245931">
        <w:t xml:space="preserve"> real-world </w:t>
      </w:r>
      <w:r w:rsidR="00961A02">
        <w:t>problems</w:t>
      </w:r>
      <w:r w:rsidR="00961A02" w:rsidRPr="00245931">
        <w:t xml:space="preserve"> </w:t>
      </w:r>
      <w:r w:rsidRPr="00245931">
        <w:t>in community, government</w:t>
      </w:r>
      <w:r w:rsidR="001867F2">
        <w:t>,</w:t>
      </w:r>
      <w:r w:rsidRPr="00245931">
        <w:t xml:space="preserve"> and the private</w:t>
      </w:r>
      <w:r w:rsidR="001867F2">
        <w:t xml:space="preserve"> and not-for</w:t>
      </w:r>
      <w:r w:rsidR="00E328C8">
        <w:t>-</w:t>
      </w:r>
      <w:r w:rsidR="001867F2">
        <w:t>pr</w:t>
      </w:r>
      <w:r w:rsidR="00757CF8">
        <w:t>ofit</w:t>
      </w:r>
      <w:r w:rsidRPr="00245931">
        <w:t xml:space="preserve"> sector</w:t>
      </w:r>
      <w:r w:rsidR="001867F2">
        <w:t>s</w:t>
      </w:r>
      <w:r w:rsidR="00E961BA">
        <w:t>.</w:t>
      </w:r>
      <w:r w:rsidR="007632CF">
        <w:t xml:space="preserve"> It is built on</w:t>
      </w:r>
      <w:r w:rsidR="007632CF" w:rsidRPr="00245931">
        <w:t xml:space="preserve"> </w:t>
      </w:r>
      <w:r w:rsidR="00B73740">
        <w:t>p</w:t>
      </w:r>
      <w:r w:rsidR="00087D9A" w:rsidRPr="00245931">
        <w:t xml:space="preserve">rograms </w:t>
      </w:r>
      <w:r w:rsidRPr="00245931">
        <w:t>designed to be relevant to changing careers, professions and scholarly disciplines</w:t>
      </w:r>
      <w:r w:rsidR="00CE1760">
        <w:t>, with significant opportunities for research and experiential learning</w:t>
      </w:r>
      <w:r w:rsidR="00E961BA">
        <w:t>.</w:t>
      </w:r>
      <w:r w:rsidR="007632CF" w:rsidRPr="00245931">
        <w:t xml:space="preserve"> </w:t>
      </w:r>
      <w:r w:rsidR="007632CF">
        <w:t xml:space="preserve">Graduates </w:t>
      </w:r>
      <w:r w:rsidR="00245931">
        <w:t>go on to</w:t>
      </w:r>
      <w:r w:rsidRPr="00245931">
        <w:t xml:space="preserve"> make significant contributions in their fields of practice and in broader society</w:t>
      </w:r>
      <w:r w:rsidR="00E961BA">
        <w:t>.</w:t>
      </w:r>
      <w:r w:rsidR="007632CF">
        <w:t xml:space="preserve"> D</w:t>
      </w:r>
      <w:r w:rsidR="007632CF" w:rsidRPr="00245931">
        <w:t xml:space="preserve">eep </w:t>
      </w:r>
      <w:r w:rsidRPr="00245931">
        <w:t xml:space="preserve">connections and partnerships with leading institutions, community agencies, </w:t>
      </w:r>
      <w:r w:rsidR="00AC3710">
        <w:t xml:space="preserve">industry, </w:t>
      </w:r>
      <w:r w:rsidR="003E1D1D">
        <w:t>government</w:t>
      </w:r>
      <w:r w:rsidRPr="00245931">
        <w:t xml:space="preserve"> and professional practices</w:t>
      </w:r>
      <w:r w:rsidR="007632CF">
        <w:t xml:space="preserve"> drive program and research relevancy</w:t>
      </w:r>
      <w:r w:rsidR="00087D9A">
        <w:t>.</w:t>
      </w:r>
    </w:p>
    <w:p w:rsidR="00245931" w:rsidRDefault="00245931" w:rsidP="00245931">
      <w:pPr>
        <w:pStyle w:val="Heading3"/>
      </w:pPr>
      <w:bookmarkStart w:id="7" w:name="_Toc387410404"/>
      <w:bookmarkStart w:id="8" w:name="_Toc262221901"/>
      <w:r>
        <w:t>The City</w:t>
      </w:r>
      <w:r w:rsidR="00E64C30">
        <w:t xml:space="preserve"> </w:t>
      </w:r>
      <w:r>
        <w:t>Builder</w:t>
      </w:r>
      <w:bookmarkEnd w:id="7"/>
      <w:bookmarkEnd w:id="8"/>
    </w:p>
    <w:p w:rsidR="006845CF" w:rsidRDefault="00245931" w:rsidP="00387BD8">
      <w:r w:rsidRPr="00245931">
        <w:t>Ryerson is – and always has been – very much a part of its community and city</w:t>
      </w:r>
      <w:r w:rsidR="00A4394B">
        <w:t xml:space="preserve">. The university </w:t>
      </w:r>
      <w:r>
        <w:t>takes pride in being situated in the heart of downtown Toronto</w:t>
      </w:r>
      <w:r w:rsidR="00862D1D">
        <w:t xml:space="preserve"> and the GTA</w:t>
      </w:r>
      <w:r w:rsidRPr="00245931">
        <w:t xml:space="preserve">. </w:t>
      </w:r>
      <w:r w:rsidR="0069431D">
        <w:t>Declaring its intention to be a city builder</w:t>
      </w:r>
      <w:r w:rsidR="009838BD">
        <w:t xml:space="preserve">, </w:t>
      </w:r>
      <w:r w:rsidRPr="00245931">
        <w:t xml:space="preserve">Ryerson </w:t>
      </w:r>
      <w:r w:rsidR="009838BD">
        <w:t xml:space="preserve">has </w:t>
      </w:r>
      <w:r w:rsidRPr="00245931">
        <w:t>enriche</w:t>
      </w:r>
      <w:r w:rsidR="009838BD">
        <w:t>d</w:t>
      </w:r>
      <w:r w:rsidRPr="00245931">
        <w:t xml:space="preserve"> </w:t>
      </w:r>
      <w:r w:rsidR="009838BD">
        <w:t>and contributed to public life</w:t>
      </w:r>
      <w:r w:rsidRPr="00245931">
        <w:t xml:space="preserve"> in broad ways</w:t>
      </w:r>
      <w:r w:rsidR="009838BD">
        <w:t xml:space="preserve">. </w:t>
      </w:r>
    </w:p>
    <w:p w:rsidR="006845CF" w:rsidRDefault="00516011" w:rsidP="00387BD8">
      <w:r>
        <w:t xml:space="preserve">Ryerson </w:t>
      </w:r>
      <w:r w:rsidR="00A4394B">
        <w:t xml:space="preserve">purposefully </w:t>
      </w:r>
      <w:r w:rsidR="006C5501">
        <w:t xml:space="preserve">aims to </w:t>
      </w:r>
      <w:r w:rsidR="00606C78">
        <w:t xml:space="preserve">make </w:t>
      </w:r>
      <w:r w:rsidR="006C5501">
        <w:t>post-secondary education</w:t>
      </w:r>
      <w:r w:rsidR="00606C78">
        <w:t xml:space="preserve"> more inclusive</w:t>
      </w:r>
      <w:r w:rsidR="003049F7">
        <w:t xml:space="preserve">. Its student population reflects the increasing diversity of the city, and it provides access and support to under-represented groups, in particular first generation students, Aboriginal people, persons with disabilities and internationally educated professionals. </w:t>
      </w:r>
      <w:r w:rsidR="006C5501">
        <w:t xml:space="preserve"> Its</w:t>
      </w:r>
      <w:r w:rsidR="00151716">
        <w:t xml:space="preserve"> </w:t>
      </w:r>
      <w:r w:rsidR="00606C78">
        <w:rPr>
          <w:i/>
        </w:rPr>
        <w:t xml:space="preserve">Spanning the Gaps </w:t>
      </w:r>
      <w:r w:rsidR="00151716">
        <w:t xml:space="preserve">program </w:t>
      </w:r>
      <w:r w:rsidR="003049F7">
        <w:t xml:space="preserve">is geared toward young people and adults who might not otherwise experience post-secondary education. </w:t>
      </w:r>
      <w:r w:rsidR="00AB734C">
        <w:t xml:space="preserve">Ryerson has </w:t>
      </w:r>
      <w:r w:rsidR="003049F7">
        <w:t>more than 500 Aboriginal students on campus</w:t>
      </w:r>
      <w:r w:rsidR="00AB734C">
        <w:t xml:space="preserve"> and</w:t>
      </w:r>
      <w:r w:rsidR="003049F7">
        <w:t xml:space="preserve"> recognizes that </w:t>
      </w:r>
      <w:r w:rsidR="006845CF">
        <w:t>Aboriginal people have a distinct history in Canada</w:t>
      </w:r>
      <w:r w:rsidR="003049F7">
        <w:t xml:space="preserve"> </w:t>
      </w:r>
      <w:r w:rsidR="00AB734C">
        <w:t xml:space="preserve">and unique </w:t>
      </w:r>
      <w:r w:rsidR="00F10FF6">
        <w:t xml:space="preserve">contemporary </w:t>
      </w:r>
      <w:r w:rsidR="00AB734C">
        <w:t>experiences</w:t>
      </w:r>
      <w:r w:rsidR="003049F7">
        <w:t>.</w:t>
      </w:r>
      <w:r w:rsidR="003049F7" w:rsidDel="003049F7">
        <w:t xml:space="preserve"> </w:t>
      </w:r>
      <w:r w:rsidR="006845CF">
        <w:t>I</w:t>
      </w:r>
      <w:r>
        <w:t>n 2012, the university</w:t>
      </w:r>
      <w:r w:rsidR="00211E94">
        <w:t xml:space="preserve"> </w:t>
      </w:r>
      <w:r>
        <w:t>was presented with an Eagle Staff to recognize 20 years of leadership in Aboriginal support, programming and partnerships</w:t>
      </w:r>
      <w:r w:rsidR="00841A1B">
        <w:t>.</w:t>
      </w:r>
      <w:r w:rsidR="00C70F22">
        <w:t xml:space="preserve"> </w:t>
      </w:r>
    </w:p>
    <w:p w:rsidR="009838BD" w:rsidRDefault="006845CF" w:rsidP="00387BD8">
      <w:r>
        <w:t>Ryerson’s</w:t>
      </w:r>
      <w:r w:rsidR="00382D20">
        <w:t xml:space="preserve"> academic and research </w:t>
      </w:r>
      <w:r w:rsidR="00CE1760">
        <w:t xml:space="preserve">partnerships </w:t>
      </w:r>
      <w:r w:rsidR="009838BD">
        <w:t xml:space="preserve">with leading institutions such as </w:t>
      </w:r>
      <w:r w:rsidR="00A4394B">
        <w:br/>
      </w:r>
      <w:r w:rsidR="009838BD">
        <w:t xml:space="preserve">St. Michael’s Hospital, </w:t>
      </w:r>
      <w:r w:rsidR="00AB734C">
        <w:t>TIFF (</w:t>
      </w:r>
      <w:r w:rsidR="009838BD">
        <w:t>Toronto International Film Festival</w:t>
      </w:r>
      <w:r w:rsidR="00AB734C">
        <w:t>)</w:t>
      </w:r>
      <w:r w:rsidR="009838BD">
        <w:t xml:space="preserve">, Bombardier Aerospace and Hydro One </w:t>
      </w:r>
      <w:proofErr w:type="gramStart"/>
      <w:r w:rsidR="00CE1760">
        <w:t>are</w:t>
      </w:r>
      <w:proofErr w:type="gramEnd"/>
      <w:r w:rsidR="00CE1760">
        <w:t xml:space="preserve"> having a</w:t>
      </w:r>
      <w:r w:rsidR="009838BD" w:rsidRPr="00245931">
        <w:t xml:space="preserve"> positive and transformative </w:t>
      </w:r>
      <w:r w:rsidR="008A4746">
        <w:t>effect up</w:t>
      </w:r>
      <w:r w:rsidR="009838BD" w:rsidRPr="00245931">
        <w:t>on society.</w:t>
      </w:r>
      <w:r w:rsidR="009838BD">
        <w:t xml:space="preserve"> </w:t>
      </w:r>
      <w:r w:rsidR="006373ED">
        <w:t>Ryerson</w:t>
      </w:r>
      <w:r w:rsidR="00CE1760">
        <w:t xml:space="preserve"> </w:t>
      </w:r>
      <w:r w:rsidR="009E6C93">
        <w:t xml:space="preserve">continues to </w:t>
      </w:r>
      <w:r w:rsidR="00245931" w:rsidRPr="00245931">
        <w:t xml:space="preserve">attract </w:t>
      </w:r>
      <w:r w:rsidR="009838BD">
        <w:t>new talent, opportunities and global connections to its campus</w:t>
      </w:r>
      <w:r w:rsidR="00CE1760">
        <w:t xml:space="preserve"> and contributes to </w:t>
      </w:r>
      <w:r w:rsidR="00245931" w:rsidRPr="00245931">
        <w:t xml:space="preserve">the city’s economic development </w:t>
      </w:r>
      <w:r w:rsidR="00CE1760">
        <w:t>and</w:t>
      </w:r>
      <w:r w:rsidR="00245931" w:rsidRPr="00245931">
        <w:t xml:space="preserve"> civic, cultural and social vitality. </w:t>
      </w:r>
    </w:p>
    <w:p w:rsidR="00F4685A" w:rsidRDefault="00F4685A" w:rsidP="00387BD8"/>
    <w:p w:rsidR="00245931" w:rsidRDefault="000C46AF" w:rsidP="00387BD8">
      <w:r>
        <w:lastRenderedPageBreak/>
        <w:t xml:space="preserve">Launched in </w:t>
      </w:r>
      <w:r w:rsidR="009838BD">
        <w:t>2008, Ryerson</w:t>
      </w:r>
      <w:r>
        <w:t>’s</w:t>
      </w:r>
      <w:r w:rsidR="009838BD">
        <w:t xml:space="preserve"> </w:t>
      </w:r>
      <w:r>
        <w:t xml:space="preserve">award-winning </w:t>
      </w:r>
      <w:r w:rsidR="009838BD">
        <w:t>Master Plan</w:t>
      </w:r>
      <w:r>
        <w:t xml:space="preserve"> has been a </w:t>
      </w:r>
      <w:r w:rsidR="009838BD">
        <w:t xml:space="preserve">catalyst for </w:t>
      </w:r>
      <w:proofErr w:type="gramStart"/>
      <w:r w:rsidR="009838BD">
        <w:t>change</w:t>
      </w:r>
      <w:proofErr w:type="gramEnd"/>
      <w:r w:rsidR="009838BD">
        <w:t xml:space="preserve"> and renewal both on campus and in the university’s downtown neighbourhood. The </w:t>
      </w:r>
      <w:proofErr w:type="spellStart"/>
      <w:r w:rsidR="009838BD">
        <w:t>Mattamy</w:t>
      </w:r>
      <w:proofErr w:type="spellEnd"/>
      <w:r w:rsidR="009838BD">
        <w:t xml:space="preserve"> Athletic Centre at Maple Leaf Gardens brought the country’s most historic sports arena back into the </w:t>
      </w:r>
      <w:r w:rsidR="00DE39AF">
        <w:t>inter</w:t>
      </w:r>
      <w:r w:rsidR="009838BD">
        <w:t>national spotlight, allowing the university to deepen the student life experience</w:t>
      </w:r>
      <w:r w:rsidR="00DE39AF">
        <w:t xml:space="preserve">, </w:t>
      </w:r>
      <w:r w:rsidR="009838BD">
        <w:t>attract talented student athletes</w:t>
      </w:r>
      <w:r w:rsidR="00DE39AF">
        <w:t xml:space="preserve"> and offer unique opportunities to children, families, community groups and organizations</w:t>
      </w:r>
      <w:r w:rsidR="009838BD">
        <w:t xml:space="preserve">. The Ryerson Image Centre, home to the famous Black Star Collection, is strengthening research and graduate education in a niche discipline and helping to make Toronto an international photography destination. The Student Learning Centre is transforming Yonge Street and will provide a new </w:t>
      </w:r>
      <w:r w:rsidR="00476EEF">
        <w:t xml:space="preserve">collaborative </w:t>
      </w:r>
      <w:r w:rsidR="009838BD">
        <w:t xml:space="preserve">learning </w:t>
      </w:r>
      <w:r w:rsidR="00A21DC3">
        <w:t xml:space="preserve">and research </w:t>
      </w:r>
      <w:r w:rsidR="000179FB">
        <w:t xml:space="preserve">space </w:t>
      </w:r>
      <w:r w:rsidR="009838BD">
        <w:t xml:space="preserve">for </w:t>
      </w:r>
      <w:r>
        <w:t xml:space="preserve">developing </w:t>
      </w:r>
      <w:r w:rsidR="009838BD">
        <w:t xml:space="preserve">synergies between students </w:t>
      </w:r>
      <w:r w:rsidR="00A21DC3">
        <w:t xml:space="preserve">and faculty </w:t>
      </w:r>
      <w:r w:rsidR="009838BD">
        <w:t>from all disciplines.</w:t>
      </w:r>
      <w:r w:rsidR="00245931" w:rsidRPr="00245931">
        <w:t xml:space="preserve"> </w:t>
      </w:r>
    </w:p>
    <w:p w:rsidR="00F425D0" w:rsidRPr="00EB231C" w:rsidRDefault="00F425D0" w:rsidP="00F664AE">
      <w:pPr>
        <w:pStyle w:val="Heading2"/>
      </w:pPr>
      <w:bookmarkStart w:id="9" w:name="_Toc387410405"/>
      <w:bookmarkStart w:id="10" w:name="_Toc262221902"/>
      <w:r w:rsidRPr="00EB231C">
        <w:t>Fostering Innovation</w:t>
      </w:r>
      <w:bookmarkEnd w:id="9"/>
      <w:bookmarkEnd w:id="10"/>
    </w:p>
    <w:p w:rsidR="00AF6A6E" w:rsidRPr="00AF6A6E" w:rsidRDefault="00AF6A6E" w:rsidP="00AF6A6E">
      <w:pPr>
        <w:tabs>
          <w:tab w:val="left" w:pos="7560"/>
        </w:tabs>
      </w:pPr>
      <w:r>
        <w:t xml:space="preserve">Ryerson’s innovation agenda is </w:t>
      </w:r>
      <w:r w:rsidR="00CE1760">
        <w:t>strengthened by</w:t>
      </w:r>
      <w:r>
        <w:t xml:space="preserve"> its strong connections to community and city. </w:t>
      </w:r>
      <w:r w:rsidRPr="00EC7AB1">
        <w:t xml:space="preserve">For Ryerson, innovation means </w:t>
      </w:r>
      <w:r w:rsidRPr="00EC7AB1">
        <w:rPr>
          <w:color w:val="000000"/>
        </w:rPr>
        <w:t xml:space="preserve">encouraging its academic community to </w:t>
      </w:r>
      <w:r w:rsidRPr="00AF6A6E">
        <w:rPr>
          <w:rFonts w:eastAsia="Times New Roman"/>
          <w:color w:val="000000"/>
          <w:lang w:eastAsia="en-CA"/>
        </w:rPr>
        <w:t>challenge</w:t>
      </w:r>
      <w:r w:rsidRPr="00EC7AB1">
        <w:rPr>
          <w:color w:val="000000"/>
        </w:rPr>
        <w:t xml:space="preserve"> the status quo with new solutions and </w:t>
      </w:r>
      <w:r w:rsidR="00AC3710" w:rsidRPr="00EC7AB1">
        <w:rPr>
          <w:color w:val="000000"/>
        </w:rPr>
        <w:t xml:space="preserve">to </w:t>
      </w:r>
      <w:r w:rsidR="000B704E">
        <w:rPr>
          <w:color w:val="000000"/>
        </w:rPr>
        <w:t>apply</w:t>
      </w:r>
      <w:r w:rsidRPr="00EC7AB1">
        <w:rPr>
          <w:color w:val="000000"/>
        </w:rPr>
        <w:t xml:space="preserve"> new ways of thinking that transform the world.</w:t>
      </w:r>
      <w:r>
        <w:rPr>
          <w:rFonts w:eastAsia="Times New Roman"/>
          <w:color w:val="000000"/>
          <w:lang w:eastAsia="en-CA"/>
        </w:rPr>
        <w:t xml:space="preserve"> As one of the world</w:t>
      </w:r>
      <w:r w:rsidR="000179FB">
        <w:rPr>
          <w:rFonts w:eastAsia="Times New Roman"/>
          <w:color w:val="000000"/>
          <w:lang w:eastAsia="en-CA"/>
        </w:rPr>
        <w:t>’</w:t>
      </w:r>
      <w:r>
        <w:rPr>
          <w:rFonts w:eastAsia="Times New Roman"/>
          <w:color w:val="000000"/>
          <w:lang w:eastAsia="en-CA"/>
        </w:rPr>
        <w:t>s most diverse</w:t>
      </w:r>
      <w:r w:rsidR="00AC3710">
        <w:rPr>
          <w:rFonts w:eastAsia="Times New Roman"/>
          <w:color w:val="000000"/>
          <w:lang w:eastAsia="en-CA"/>
        </w:rPr>
        <w:t xml:space="preserve"> and</w:t>
      </w:r>
      <w:r>
        <w:rPr>
          <w:rFonts w:eastAsia="Times New Roman"/>
          <w:color w:val="000000"/>
          <w:lang w:eastAsia="en-CA"/>
        </w:rPr>
        <w:t xml:space="preserve"> urban universities, it </w:t>
      </w:r>
      <w:r w:rsidR="000C46AF">
        <w:rPr>
          <w:rFonts w:eastAsia="Times New Roman"/>
          <w:color w:val="000000"/>
          <w:lang w:eastAsia="en-CA"/>
        </w:rPr>
        <w:t xml:space="preserve">also </w:t>
      </w:r>
      <w:r>
        <w:rPr>
          <w:rFonts w:eastAsia="Times New Roman"/>
          <w:color w:val="000000"/>
          <w:lang w:eastAsia="en-CA"/>
        </w:rPr>
        <w:t>recognizes that innovation depends on diversity of experience and thought</w:t>
      </w:r>
      <w:r>
        <w:t xml:space="preserve">. </w:t>
      </w:r>
    </w:p>
    <w:p w:rsidR="00F47503" w:rsidRDefault="00EC7AB1" w:rsidP="00CE1760">
      <w:r>
        <w:t xml:space="preserve">Innovation at Ryerson is fed by robust programs, SRC activity and experiential learning. Students, faculty and staff discover, create and explore new ideas in more than 100 labs, institutes and research centres. They </w:t>
      </w:r>
      <w:r w:rsidRPr="00AF6A6E">
        <w:t>collaborat</w:t>
      </w:r>
      <w:r>
        <w:t>e</w:t>
      </w:r>
      <w:r w:rsidRPr="00AF6A6E">
        <w:t xml:space="preserve"> </w:t>
      </w:r>
      <w:r w:rsidR="00AF6A6E" w:rsidRPr="00AF6A6E">
        <w:t xml:space="preserve">with a </w:t>
      </w:r>
      <w:r w:rsidR="00AF6A6E">
        <w:t xml:space="preserve">growing </w:t>
      </w:r>
      <w:r w:rsidRPr="00AF6A6E">
        <w:t>n</w:t>
      </w:r>
      <w:r>
        <w:t>umber</w:t>
      </w:r>
      <w:r w:rsidRPr="00AF6A6E">
        <w:t xml:space="preserve"> </w:t>
      </w:r>
      <w:r w:rsidR="00AF6A6E" w:rsidRPr="00AF6A6E">
        <w:t>of Canadian and international partners</w:t>
      </w:r>
      <w:r w:rsidR="00AF6A6E">
        <w:t xml:space="preserve">, and </w:t>
      </w:r>
      <w:r>
        <w:t xml:space="preserve">undertake </w:t>
      </w:r>
      <w:r w:rsidR="00AF6A6E">
        <w:t>responsive</w:t>
      </w:r>
      <w:r w:rsidR="00783B4E">
        <w:t xml:space="preserve"> </w:t>
      </w:r>
      <w:r w:rsidR="00A4394B">
        <w:t xml:space="preserve">research </w:t>
      </w:r>
      <w:r w:rsidR="00783B4E">
        <w:t>which meets the needs of society.</w:t>
      </w:r>
      <w:r>
        <w:t xml:space="preserve"> The result is a community that</w:t>
      </w:r>
      <w:r w:rsidR="00AF6A6E" w:rsidRPr="00AF6A6E">
        <w:t xml:space="preserve"> </w:t>
      </w:r>
      <w:r w:rsidRPr="00AF6A6E">
        <w:t>tackl</w:t>
      </w:r>
      <w:r>
        <w:t>es</w:t>
      </w:r>
      <w:r w:rsidRPr="00AF6A6E">
        <w:t xml:space="preserve"> </w:t>
      </w:r>
      <w:r w:rsidR="00AF6A6E" w:rsidRPr="00AF6A6E">
        <w:t xml:space="preserve">pressing issues, </w:t>
      </w:r>
      <w:r w:rsidRPr="00AF6A6E">
        <w:t>develop</w:t>
      </w:r>
      <w:r>
        <w:t>s</w:t>
      </w:r>
      <w:r w:rsidRPr="00AF6A6E">
        <w:t xml:space="preserve"> </w:t>
      </w:r>
      <w:r w:rsidR="00AF6A6E" w:rsidRPr="00AF6A6E">
        <w:t xml:space="preserve">new </w:t>
      </w:r>
      <w:r w:rsidR="00AF6A6E">
        <w:t xml:space="preserve">solutions, </w:t>
      </w:r>
      <w:r w:rsidR="00AF6A6E" w:rsidRPr="00AF6A6E">
        <w:t xml:space="preserve">technologies and </w:t>
      </w:r>
      <w:r w:rsidR="00AF6A6E">
        <w:t>products</w:t>
      </w:r>
      <w:r w:rsidR="00AF6A6E" w:rsidRPr="00AF6A6E">
        <w:t xml:space="preserve">, and </w:t>
      </w:r>
      <w:r w:rsidRPr="00AF6A6E">
        <w:t>launch</w:t>
      </w:r>
      <w:r>
        <w:t>es</w:t>
      </w:r>
      <w:r w:rsidRPr="00AF6A6E">
        <w:t xml:space="preserve"> </w:t>
      </w:r>
      <w:r w:rsidR="00AF6A6E" w:rsidRPr="00AF6A6E">
        <w:t xml:space="preserve">social, cultural, civic and </w:t>
      </w:r>
      <w:r w:rsidR="007632CF">
        <w:t>commercial</w:t>
      </w:r>
      <w:r w:rsidR="007632CF" w:rsidRPr="00AF6A6E">
        <w:t xml:space="preserve"> </w:t>
      </w:r>
      <w:r w:rsidR="00AF6A6E" w:rsidRPr="00AF6A6E">
        <w:t xml:space="preserve">ventures. </w:t>
      </w:r>
      <w:r w:rsidR="00B04D23" w:rsidRPr="00B04D23">
        <w:t xml:space="preserve">Ryerson’s </w:t>
      </w:r>
      <w:r w:rsidR="00B04D23">
        <w:t xml:space="preserve">leadership and </w:t>
      </w:r>
      <w:r w:rsidR="00B04D23" w:rsidRPr="00B04D23">
        <w:t xml:space="preserve">commitment to social innovation and entrepreneurship was recognized when it was named the </w:t>
      </w:r>
      <w:proofErr w:type="spellStart"/>
      <w:r w:rsidR="00B04D23" w:rsidRPr="00B04D23">
        <w:t>Ashoka</w:t>
      </w:r>
      <w:proofErr w:type="spellEnd"/>
      <w:r w:rsidR="00B04D23" w:rsidRPr="00B04D23">
        <w:t xml:space="preserve"> Foundation’s first Canadian “</w:t>
      </w:r>
      <w:proofErr w:type="spellStart"/>
      <w:r w:rsidR="00B04D23" w:rsidRPr="00B04D23">
        <w:t>Changemaker</w:t>
      </w:r>
      <w:proofErr w:type="spellEnd"/>
      <w:r w:rsidR="00B04D23" w:rsidRPr="00B04D23">
        <w:t xml:space="preserve"> Campus.” </w:t>
      </w:r>
    </w:p>
    <w:p w:rsidR="000C46AF" w:rsidRDefault="00AF6A6E" w:rsidP="00CE1760">
      <w:r w:rsidRPr="00AF6A6E">
        <w:t xml:space="preserve">Through its </w:t>
      </w:r>
      <w:r w:rsidR="006B472D">
        <w:t xml:space="preserve">programs and </w:t>
      </w:r>
      <w:r w:rsidRPr="00AF6A6E">
        <w:t xml:space="preserve">zone learning – a </w:t>
      </w:r>
      <w:r w:rsidR="00EC7AB1">
        <w:t>pioneering</w:t>
      </w:r>
      <w:r w:rsidR="00EC7AB1" w:rsidRPr="00AF6A6E">
        <w:t xml:space="preserve"> </w:t>
      </w:r>
      <w:r w:rsidRPr="00AF6A6E">
        <w:t xml:space="preserve">approach to experiential learning that is transforming entrepreneurial education in Canada – Ryerson is shaping the next generation of </w:t>
      </w:r>
      <w:r>
        <w:t xml:space="preserve">change-makers and advocacy leaders, </w:t>
      </w:r>
      <w:r w:rsidRPr="007713E8">
        <w:t>innovators and entrepreneurs</w:t>
      </w:r>
      <w:r w:rsidR="00E64C30">
        <w:t>.</w:t>
      </w:r>
      <w:r w:rsidR="00B04D23">
        <w:t xml:space="preserve"> Zone learning </w:t>
      </w:r>
      <w:r w:rsidR="00B04D23" w:rsidRPr="00403BC4">
        <w:rPr>
          <w:rFonts w:eastAsia="Times New Roman"/>
          <w:color w:val="000000"/>
          <w:lang w:eastAsia="en-CA"/>
        </w:rPr>
        <w:t>builds on the success of the Digital Media Zone</w:t>
      </w:r>
      <w:r w:rsidR="00B04D23">
        <w:rPr>
          <w:rFonts w:eastAsia="Times New Roman"/>
          <w:color w:val="000000"/>
          <w:lang w:eastAsia="en-CA"/>
        </w:rPr>
        <w:t xml:space="preserve"> (DMZ)</w:t>
      </w:r>
      <w:r w:rsidR="00F47503">
        <w:rPr>
          <w:rFonts w:eastAsia="Times New Roman"/>
          <w:color w:val="000000"/>
          <w:lang w:eastAsia="en-CA"/>
        </w:rPr>
        <w:t xml:space="preserve">, one of Canada’s largest communities of </w:t>
      </w:r>
      <w:proofErr w:type="spellStart"/>
      <w:r w:rsidR="00F47503">
        <w:rPr>
          <w:rFonts w:eastAsia="Times New Roman"/>
          <w:color w:val="000000"/>
          <w:lang w:eastAsia="en-CA"/>
        </w:rPr>
        <w:t>startups</w:t>
      </w:r>
      <w:proofErr w:type="spellEnd"/>
      <w:r w:rsidR="00F47503">
        <w:rPr>
          <w:rFonts w:eastAsia="Times New Roman"/>
          <w:color w:val="000000"/>
          <w:lang w:eastAsia="en-CA"/>
        </w:rPr>
        <w:t>, and the Innovation Centre for Urban Energy (</w:t>
      </w:r>
      <w:proofErr w:type="spellStart"/>
      <w:r w:rsidR="00F47503">
        <w:rPr>
          <w:rFonts w:eastAsia="Times New Roman"/>
          <w:color w:val="000000"/>
          <w:lang w:eastAsia="en-CA"/>
        </w:rPr>
        <w:t>i</w:t>
      </w:r>
      <w:proofErr w:type="spellEnd"/>
      <w:r w:rsidR="00F47503">
        <w:rPr>
          <w:rFonts w:eastAsia="Times New Roman"/>
          <w:color w:val="000000"/>
          <w:lang w:eastAsia="en-CA"/>
        </w:rPr>
        <w:t xml:space="preserve">-CUE) which is the country’s </w:t>
      </w:r>
      <w:r w:rsidR="00F47503" w:rsidRPr="00F47503">
        <w:rPr>
          <w:rFonts w:eastAsia="Times New Roman"/>
          <w:color w:val="000000"/>
          <w:lang w:eastAsia="en-CA"/>
        </w:rPr>
        <w:t>first business incubator and accelerator devoted solely to urban energy.</w:t>
      </w:r>
      <w:r w:rsidR="00F47503">
        <w:rPr>
          <w:rFonts w:eastAsia="Times New Roman"/>
          <w:color w:val="000000"/>
          <w:lang w:eastAsia="en-CA"/>
        </w:rPr>
        <w:t xml:space="preserve"> Since its inception in 2010, the DMZ has helped </w:t>
      </w:r>
      <w:r w:rsidR="00B04D23" w:rsidRPr="00403BC4">
        <w:t xml:space="preserve">young entrepreneurs create over 100 companies and 900 jobs. </w:t>
      </w:r>
      <w:r w:rsidRPr="00AF6A6E">
        <w:t xml:space="preserve"> </w:t>
      </w:r>
    </w:p>
    <w:p w:rsidR="00F4685A" w:rsidRDefault="00F4685A" w:rsidP="00CE1760"/>
    <w:p w:rsidR="00AF6A6E" w:rsidRDefault="00AF6A6E" w:rsidP="00CE1760">
      <w:r>
        <w:lastRenderedPageBreak/>
        <w:t xml:space="preserve">This enterprising spirit is also </w:t>
      </w:r>
      <w:r w:rsidR="00226A87">
        <w:t>evident inside the university.</w:t>
      </w:r>
      <w:r>
        <w:t xml:space="preserve"> </w:t>
      </w:r>
      <w:r w:rsidR="006373ED">
        <w:t>The Ryer</w:t>
      </w:r>
      <w:r w:rsidR="00E328C8">
        <w:t>s</w:t>
      </w:r>
      <w:r w:rsidR="00F52746">
        <w:t xml:space="preserve">on community is </w:t>
      </w:r>
      <w:r w:rsidR="006373ED">
        <w:t xml:space="preserve">encouraged </w:t>
      </w:r>
      <w:r>
        <w:t xml:space="preserve">to test ideas, think creatively and work across units to ensure that </w:t>
      </w:r>
      <w:r w:rsidR="00A21DC3">
        <w:t xml:space="preserve">structures, </w:t>
      </w:r>
      <w:r w:rsidR="00EF76DE">
        <w:t>systems, processes and policies</w:t>
      </w:r>
      <w:r>
        <w:t xml:space="preserve"> remain flexible, nimble and responsive as </w:t>
      </w:r>
      <w:r w:rsidR="00EF76DE">
        <w:t xml:space="preserve">the </w:t>
      </w:r>
      <w:r>
        <w:t xml:space="preserve">needs </w:t>
      </w:r>
      <w:r w:rsidR="00EF76DE">
        <w:t xml:space="preserve">of the university </w:t>
      </w:r>
      <w:r>
        <w:t>change.</w:t>
      </w:r>
    </w:p>
    <w:p w:rsidR="001957FA" w:rsidRPr="00EB231C" w:rsidRDefault="001957FA" w:rsidP="00E51985">
      <w:pPr>
        <w:sectPr w:rsidR="001957FA" w:rsidRPr="00EB231C" w:rsidSect="00455262">
          <w:footerReference w:type="default" r:id="rId12"/>
          <w:pgSz w:w="12240" w:h="15840"/>
          <w:pgMar w:top="1440" w:right="1440" w:bottom="993" w:left="1440" w:header="720" w:footer="854" w:gutter="0"/>
          <w:pgNumType w:start="1"/>
          <w:cols w:space="720"/>
          <w:docGrid w:linePitch="360"/>
        </w:sectPr>
      </w:pPr>
    </w:p>
    <w:p w:rsidR="006D38F7" w:rsidRDefault="006D38F7" w:rsidP="006D38F7">
      <w:pPr>
        <w:pStyle w:val="Heading1"/>
      </w:pPr>
      <w:bookmarkStart w:id="11" w:name="_Toc262221903"/>
      <w:r>
        <w:lastRenderedPageBreak/>
        <w:t>Taking Ryerson Forward</w:t>
      </w:r>
      <w:bookmarkEnd w:id="11"/>
    </w:p>
    <w:p w:rsidR="006D38F7" w:rsidRPr="006D38F7" w:rsidRDefault="006D38F7" w:rsidP="006D38F7">
      <w:pPr>
        <w:jc w:val="center"/>
        <w:rPr>
          <w:i/>
          <w:sz w:val="28"/>
          <w:szCs w:val="28"/>
        </w:rPr>
      </w:pPr>
      <w:r w:rsidRPr="006D38F7">
        <w:rPr>
          <w:i/>
          <w:sz w:val="28"/>
          <w:szCs w:val="28"/>
        </w:rPr>
        <w:t>With Mind and Skill</w:t>
      </w:r>
    </w:p>
    <w:p w:rsidR="006D38F7" w:rsidRPr="006D38F7" w:rsidRDefault="006D38F7" w:rsidP="00F0366B">
      <w:pPr>
        <w:spacing w:after="120"/>
        <w:jc w:val="right"/>
      </w:pPr>
      <w:r w:rsidRPr="006D38F7">
        <w:t xml:space="preserve">Ryerson University motto: </w:t>
      </w:r>
      <w:r>
        <w:t>“</w:t>
      </w:r>
      <w:proofErr w:type="spellStart"/>
      <w:r w:rsidRPr="006D38F7">
        <w:t>Mente</w:t>
      </w:r>
      <w:proofErr w:type="spellEnd"/>
      <w:r w:rsidRPr="006D38F7">
        <w:t xml:space="preserve"> et </w:t>
      </w:r>
      <w:proofErr w:type="spellStart"/>
      <w:r w:rsidRPr="006D38F7">
        <w:t>Artificio</w:t>
      </w:r>
      <w:proofErr w:type="spellEnd"/>
      <w:r>
        <w:t>”</w:t>
      </w:r>
    </w:p>
    <w:p w:rsidR="002C5048" w:rsidRDefault="006D38F7" w:rsidP="00E52548">
      <w:pPr>
        <w:pStyle w:val="Heading2"/>
      </w:pPr>
      <w:bookmarkStart w:id="12" w:name="_Toc387410407"/>
      <w:bookmarkStart w:id="13" w:name="_Toc262221904"/>
      <w:r>
        <w:t>Ryerson’s Mission</w:t>
      </w:r>
      <w:bookmarkEnd w:id="12"/>
      <w:bookmarkEnd w:id="13"/>
    </w:p>
    <w:p w:rsidR="002C5048" w:rsidRDefault="006D38F7" w:rsidP="00E52548">
      <w:r w:rsidRPr="006D38F7">
        <w:t>Ryerson’s distinctive core mission – to serve societal need by providing career-related</w:t>
      </w:r>
      <w:r w:rsidR="00EC7AB1">
        <w:t xml:space="preserve"> and professional</w:t>
      </w:r>
      <w:r w:rsidRPr="006D38F7">
        <w:t xml:space="preserve"> education</w:t>
      </w:r>
      <w:r>
        <w:t>,</w:t>
      </w:r>
      <w:r w:rsidRPr="006D38F7">
        <w:t xml:space="preserve"> and </w:t>
      </w:r>
      <w:r w:rsidR="00C01923">
        <w:t>scholarly, creative and research</w:t>
      </w:r>
      <w:r w:rsidRPr="006D38F7">
        <w:t xml:space="preserve"> activit</w:t>
      </w:r>
      <w:r w:rsidR="00C01923">
        <w:t>ies</w:t>
      </w:r>
      <w:r w:rsidRPr="006D38F7">
        <w:t xml:space="preserve"> – </w:t>
      </w:r>
      <w:r w:rsidR="00AC3710">
        <w:t>responds to the</w:t>
      </w:r>
      <w:r w:rsidRPr="006D38F7">
        <w:t xml:space="preserve"> </w:t>
      </w:r>
      <w:r w:rsidR="00AC3710" w:rsidRPr="006D38F7">
        <w:t>demand</w:t>
      </w:r>
      <w:r w:rsidR="00AC3710">
        <w:t xml:space="preserve"> for</w:t>
      </w:r>
      <w:r w:rsidR="00AC3710" w:rsidRPr="006D38F7">
        <w:t xml:space="preserve"> </w:t>
      </w:r>
      <w:r w:rsidRPr="006D38F7">
        <w:t>highly skilled</w:t>
      </w:r>
      <w:r>
        <w:t>,</w:t>
      </w:r>
      <w:r w:rsidRPr="006D38F7">
        <w:t xml:space="preserve"> creative</w:t>
      </w:r>
      <w:r>
        <w:t xml:space="preserve"> and critical</w:t>
      </w:r>
      <w:r w:rsidRPr="006D38F7">
        <w:t xml:space="preserve"> thinkers who </w:t>
      </w:r>
      <w:r w:rsidR="0004014A">
        <w:t xml:space="preserve">can frame </w:t>
      </w:r>
      <w:r w:rsidRPr="006D38F7">
        <w:t xml:space="preserve">increasingly </w:t>
      </w:r>
      <w:r>
        <w:t xml:space="preserve">interconnected, </w:t>
      </w:r>
      <w:r w:rsidRPr="006D38F7">
        <w:t>complex problems</w:t>
      </w:r>
      <w:r w:rsidR="0004014A">
        <w:t xml:space="preserve"> and determine effective solutions</w:t>
      </w:r>
      <w:r w:rsidRPr="006D38F7">
        <w:t>.</w:t>
      </w:r>
      <w:r>
        <w:t xml:space="preserve"> </w:t>
      </w:r>
      <w:r w:rsidR="001F7DE0">
        <w:t>It</w:t>
      </w:r>
      <w:r>
        <w:t xml:space="preserve"> conveys </w:t>
      </w:r>
      <w:r w:rsidR="00783233">
        <w:t>the</w:t>
      </w:r>
      <w:r>
        <w:t xml:space="preserve"> responsibility to serve </w:t>
      </w:r>
      <w:r w:rsidR="00AC3710">
        <w:t>as well as</w:t>
      </w:r>
      <w:r>
        <w:t xml:space="preserve"> anticipate and respond to societal need by seeking and defining new opportunities </w:t>
      </w:r>
      <w:r w:rsidR="00AC3710">
        <w:t>to</w:t>
      </w:r>
      <w:r>
        <w:t xml:space="preserve"> </w:t>
      </w:r>
      <w:r w:rsidR="0040690C">
        <w:t xml:space="preserve">make </w:t>
      </w:r>
      <w:r>
        <w:t>the world better.</w:t>
      </w:r>
      <w:r w:rsidRPr="006D38F7">
        <w:t xml:space="preserve"> </w:t>
      </w:r>
    </w:p>
    <w:p w:rsidR="00C53B81" w:rsidRDefault="006D38F7" w:rsidP="00E52548">
      <w:r w:rsidRPr="006D38F7">
        <w:t>Ryerson</w:t>
      </w:r>
      <w:r w:rsidR="00B73740">
        <w:t>’s</w:t>
      </w:r>
      <w:r w:rsidRPr="006D38F7">
        <w:t xml:space="preserve"> diverse</w:t>
      </w:r>
      <w:r w:rsidR="00783233">
        <w:t xml:space="preserve"> </w:t>
      </w:r>
      <w:r w:rsidR="00E52548">
        <w:t xml:space="preserve">learning </w:t>
      </w:r>
      <w:r w:rsidR="00783233">
        <w:t xml:space="preserve">community </w:t>
      </w:r>
      <w:r w:rsidRPr="006D38F7">
        <w:t>drive</w:t>
      </w:r>
      <w:r w:rsidR="00A21DC3">
        <w:t>s</w:t>
      </w:r>
      <w:r w:rsidRPr="006D38F7">
        <w:t xml:space="preserve"> new lines of inquiry to foster responsive and robust research, innovation, scholarly and creative endeavours. The</w:t>
      </w:r>
      <w:r w:rsidR="009520E9">
        <w:t xml:space="preserve"> university</w:t>
      </w:r>
      <w:r w:rsidR="00F13F01">
        <w:t xml:space="preserve"> </w:t>
      </w:r>
      <w:r w:rsidR="00AC3710">
        <w:t>brings to life</w:t>
      </w:r>
      <w:r w:rsidR="009520E9">
        <w:t xml:space="preserve"> its motto</w:t>
      </w:r>
      <w:r w:rsidR="00B51472">
        <w:t>,</w:t>
      </w:r>
      <w:r w:rsidR="009520E9">
        <w:t xml:space="preserve"> </w:t>
      </w:r>
      <w:r w:rsidR="0020555B">
        <w:t>“</w:t>
      </w:r>
      <w:r w:rsidR="009520E9">
        <w:t>With Mind and Skill</w:t>
      </w:r>
      <w:r w:rsidR="00B51472">
        <w:t>.</w:t>
      </w:r>
      <w:r w:rsidR="0020555B">
        <w:t>”</w:t>
      </w:r>
      <w:r w:rsidR="00B51472">
        <w:t xml:space="preserve"> T</w:t>
      </w:r>
      <w:r w:rsidR="001F7DE0">
        <w:t xml:space="preserve">he </w:t>
      </w:r>
      <w:r w:rsidR="009B6767">
        <w:t>foundational knowledge</w:t>
      </w:r>
      <w:r w:rsidR="000F5F0B">
        <w:t xml:space="preserve"> of a discipline </w:t>
      </w:r>
      <w:r w:rsidR="00B51472">
        <w:t xml:space="preserve">is combined </w:t>
      </w:r>
      <w:r w:rsidR="000F5F0B">
        <w:t>with real-world experiential learning experiences and life skills</w:t>
      </w:r>
      <w:r w:rsidR="00783233">
        <w:t xml:space="preserve"> such as </w:t>
      </w:r>
      <w:r w:rsidR="00C53B81">
        <w:t xml:space="preserve">critical thinking, creativity and </w:t>
      </w:r>
      <w:r w:rsidR="00783233">
        <w:t>the self-confidence to take calculated risks</w:t>
      </w:r>
      <w:r w:rsidR="000F5F0B">
        <w:t xml:space="preserve">. </w:t>
      </w:r>
      <w:r w:rsidR="000A475D">
        <w:t>Cross-cultural competence</w:t>
      </w:r>
      <w:r w:rsidR="00D626DD">
        <w:t xml:space="preserve"> </w:t>
      </w:r>
      <w:r w:rsidR="000A475D" w:rsidRPr="006D38F7">
        <w:t xml:space="preserve">and </w:t>
      </w:r>
      <w:r w:rsidR="000A475D">
        <w:t xml:space="preserve">a deep </w:t>
      </w:r>
      <w:r w:rsidR="000A475D" w:rsidRPr="006D38F7">
        <w:t xml:space="preserve">appreciation of the linguistic and cultural diversity of </w:t>
      </w:r>
      <w:r w:rsidR="000A475D">
        <w:t xml:space="preserve">the </w:t>
      </w:r>
      <w:r w:rsidR="000A475D" w:rsidRPr="006D38F7">
        <w:t xml:space="preserve">campus and </w:t>
      </w:r>
      <w:r w:rsidR="00AC3710">
        <w:t xml:space="preserve">the </w:t>
      </w:r>
      <w:r w:rsidR="000A475D" w:rsidRPr="006D38F7">
        <w:t xml:space="preserve">city help </w:t>
      </w:r>
      <w:r w:rsidR="000A475D">
        <w:t>students</w:t>
      </w:r>
      <w:r w:rsidR="000A475D" w:rsidRPr="006D38F7">
        <w:t xml:space="preserve"> </w:t>
      </w:r>
      <w:r w:rsidR="00AC3710">
        <w:t xml:space="preserve">to </w:t>
      </w:r>
      <w:r w:rsidR="000A475D">
        <w:t xml:space="preserve">become </w:t>
      </w:r>
      <w:r w:rsidR="000A475D" w:rsidRPr="006D38F7">
        <w:t>responsible</w:t>
      </w:r>
      <w:r w:rsidR="000A475D">
        <w:t xml:space="preserve"> and engaged</w:t>
      </w:r>
      <w:r w:rsidR="000A475D" w:rsidRPr="006D38F7">
        <w:t xml:space="preserve"> global citizens</w:t>
      </w:r>
      <w:r w:rsidR="000A475D">
        <w:t xml:space="preserve">. </w:t>
      </w:r>
      <w:r w:rsidR="00AC3710">
        <w:t>S</w:t>
      </w:r>
      <w:r w:rsidR="000F5F0B">
        <w:t>tudents are</w:t>
      </w:r>
      <w:r w:rsidRPr="006D38F7">
        <w:t xml:space="preserve"> not only prepared for future careers and professions</w:t>
      </w:r>
      <w:r w:rsidR="000F5F0B">
        <w:t xml:space="preserve"> but are empowered to</w:t>
      </w:r>
      <w:r w:rsidRPr="006D38F7">
        <w:t xml:space="preserve"> </w:t>
      </w:r>
      <w:r w:rsidR="00F13F01">
        <w:t>drive change in</w:t>
      </w:r>
      <w:r w:rsidR="00276E42">
        <w:t xml:space="preserve"> </w:t>
      </w:r>
      <w:r w:rsidR="00F13F01">
        <w:t>existing organizations</w:t>
      </w:r>
      <w:r w:rsidR="00BA63BB">
        <w:t>,</w:t>
      </w:r>
      <w:r w:rsidR="00F13F01">
        <w:t xml:space="preserve"> </w:t>
      </w:r>
      <w:r w:rsidR="00865AE2">
        <w:t xml:space="preserve">launch </w:t>
      </w:r>
      <w:r w:rsidR="00F13F01">
        <w:t>new compa</w:t>
      </w:r>
      <w:r w:rsidR="001F3E31">
        <w:t>nies, social or civic ventures</w:t>
      </w:r>
      <w:r w:rsidR="00BA63BB">
        <w:t>,</w:t>
      </w:r>
      <w:r w:rsidR="00865AE2">
        <w:t xml:space="preserve"> and create jobs</w:t>
      </w:r>
      <w:r w:rsidR="00C53B81">
        <w:t>.</w:t>
      </w:r>
    </w:p>
    <w:p w:rsidR="00C53B81" w:rsidRDefault="00C53B81" w:rsidP="00E52548">
      <w:r>
        <w:t xml:space="preserve">Ryerson’s mission statement has guided the university’s development for the </w:t>
      </w:r>
      <w:r w:rsidR="00F4685A">
        <w:t>p</w:t>
      </w:r>
      <w:r>
        <w:t xml:space="preserve">ast </w:t>
      </w:r>
      <w:r w:rsidR="00F4685A">
        <w:br/>
      </w:r>
      <w:r>
        <w:t xml:space="preserve">20 years: </w:t>
      </w:r>
    </w:p>
    <w:p w:rsidR="002C5048" w:rsidRPr="00A4394B" w:rsidRDefault="00610DBB" w:rsidP="00E52548">
      <w:pPr>
        <w:rPr>
          <w:rStyle w:val="SubtleEmphasis"/>
          <w:rFonts w:ascii="Arial" w:hAnsi="Arial"/>
          <w:i w:val="0"/>
        </w:rPr>
      </w:pPr>
      <w:r w:rsidRPr="00A4394B">
        <w:rPr>
          <w:rStyle w:val="SubtleEmphasis"/>
          <w:rFonts w:ascii="Arial" w:hAnsi="Arial" w:cs="Arial"/>
        </w:rPr>
        <w:t>“The special mission of Ryerson University is the advancement of applied knowledge and research to address societal need, and the provision of programs of study that provide a balance between theory and application and that prepare students for careers in professional and quasi-professional fields. As a leading centre for applied education, Ryerson is recognized for the excellence of its teaching, the relevance of its curriculum, the success of its students in achieving their academic and career objectives, the quality of its scholarship, research and creative activity and its commitment to accessibility, lifelong learning, and involvement in the broader community.”</w:t>
      </w:r>
      <w:r w:rsidR="009364F8" w:rsidRPr="00A4394B">
        <w:rPr>
          <w:rStyle w:val="SubtleEmphasis"/>
          <w:rFonts w:ascii="Arial" w:hAnsi="Arial" w:cs="Arial"/>
        </w:rPr>
        <w:t xml:space="preserve"> </w:t>
      </w:r>
      <w:r w:rsidR="009364F8" w:rsidRPr="00A4394B">
        <w:rPr>
          <w:sz w:val="20"/>
          <w:szCs w:val="20"/>
        </w:rPr>
        <w:t>(</w:t>
      </w:r>
      <w:r w:rsidR="009364F8" w:rsidRPr="00A4394B">
        <w:rPr>
          <w:rStyle w:val="SubtleEmphasis"/>
          <w:rFonts w:ascii="Arial" w:hAnsi="Arial" w:cs="Arial"/>
          <w:i w:val="0"/>
        </w:rPr>
        <w:t>Ryerson University Mission Statement, 1994)</w:t>
      </w:r>
      <w:r w:rsidR="000A475D" w:rsidRPr="00A4394B">
        <w:rPr>
          <w:rStyle w:val="SubtleEmphasis"/>
          <w:rFonts w:ascii="Arial" w:hAnsi="Arial" w:cs="Arial"/>
          <w:vertAlign w:val="superscript"/>
        </w:rPr>
        <w:t>1</w:t>
      </w:r>
    </w:p>
    <w:p w:rsidR="000A475D" w:rsidRPr="00C53B81" w:rsidRDefault="000A475D" w:rsidP="000A475D">
      <w:pPr>
        <w:pBdr>
          <w:top w:val="single" w:sz="4" w:space="1" w:color="auto"/>
        </w:pBdr>
        <w:spacing w:before="240"/>
        <w:rPr>
          <w:rStyle w:val="SubtleEmphasis"/>
          <w:rFonts w:ascii="Arial" w:hAnsi="Arial"/>
          <w:sz w:val="18"/>
        </w:rPr>
      </w:pPr>
      <w:r w:rsidRPr="000A475D">
        <w:rPr>
          <w:rStyle w:val="SubtleEmphasis"/>
          <w:rFonts w:ascii="Arial" w:hAnsi="Arial" w:cs="Arial"/>
          <w:sz w:val="16"/>
          <w:szCs w:val="16"/>
        </w:rPr>
        <w:t>1</w:t>
      </w:r>
      <w:r w:rsidRPr="000A475D">
        <w:rPr>
          <w:rStyle w:val="FootnoteReference"/>
        </w:rPr>
        <w:t xml:space="preserve"> </w:t>
      </w:r>
      <w:r w:rsidRPr="00C53B81">
        <w:rPr>
          <w:rStyle w:val="FootnoteReference"/>
          <w:sz w:val="18"/>
        </w:rPr>
        <w:t xml:space="preserve">The mission statement is derived from the Objects of the University as outlined in the Ryerson University Act: </w:t>
      </w:r>
      <w:r w:rsidR="00C53B81">
        <w:rPr>
          <w:sz w:val="18"/>
        </w:rPr>
        <w:br/>
      </w:r>
      <w:r w:rsidRPr="00C53B81">
        <w:rPr>
          <w:rStyle w:val="FootnoteReference"/>
          <w:i/>
          <w:sz w:val="18"/>
        </w:rPr>
        <w:t>1) The advancement of learning, and the intellectual, social, moral, cultural, spiritual, and physical development of the University's students and employees, and the betterment of society. 2) The advancement of applied knowledge and research in response to existing and emerging societal need and in support of the cultural, economic, social, and technological development of Ontario. 3) The provision of programs of study that provide a balance between theory and application and that prepare students for careers in professional and quasi-professional fields.</w:t>
      </w:r>
    </w:p>
    <w:p w:rsidR="000A475D" w:rsidRDefault="000A475D" w:rsidP="00E51985">
      <w:pPr>
        <w:sectPr w:rsidR="000A475D" w:rsidSect="004B2B81">
          <w:pgSz w:w="12240" w:h="15840"/>
          <w:pgMar w:top="1440" w:right="1440" w:bottom="993" w:left="1440" w:header="720" w:footer="854" w:gutter="0"/>
          <w:cols w:space="720"/>
          <w:docGrid w:linePitch="360"/>
        </w:sectPr>
      </w:pPr>
    </w:p>
    <w:p w:rsidR="00B30853" w:rsidRPr="00B30853" w:rsidRDefault="00B30853" w:rsidP="00F664AE">
      <w:pPr>
        <w:pStyle w:val="Heading2"/>
      </w:pPr>
      <w:bookmarkStart w:id="14" w:name="_Toc387410408"/>
      <w:bookmarkStart w:id="15" w:name="_Toc262221905"/>
      <w:r>
        <w:lastRenderedPageBreak/>
        <w:t xml:space="preserve">Ryerson’s </w:t>
      </w:r>
      <w:r w:rsidR="00F3301E">
        <w:t>V</w:t>
      </w:r>
      <w:r>
        <w:t>ision</w:t>
      </w:r>
      <w:bookmarkEnd w:id="14"/>
      <w:bookmarkEnd w:id="15"/>
    </w:p>
    <w:p w:rsidR="007227DC" w:rsidRDefault="007227DC" w:rsidP="007227DC">
      <w:r>
        <w:t xml:space="preserve">Ryerson will be </w:t>
      </w:r>
      <w:r w:rsidRPr="002F7CA1">
        <w:t>Canada’s leading comprehensive innovation university</w:t>
      </w:r>
      <w:r>
        <w:t xml:space="preserve">, recognized for its high-quality career-related and professional bachelor, master’s and doctoral programs and relevant scholarly, research and creative activities. It will be a global leader in interdisciplinary, entrepreneurial zone learning. Ryerson’s students, graduates and faculty will contribute significantly to Ontario’s and Canada’s social, cultural and economic well-being. </w:t>
      </w:r>
    </w:p>
    <w:p w:rsidR="007227DC" w:rsidRDefault="007227DC" w:rsidP="007227DC">
      <w:r>
        <w:t xml:space="preserve">Ryerson will provide students with the best learning experience, leading to great careers and engaged graduates who enable change. The university, through the sustained work of faculty and staff, is continuing on a transformative path to meet the changing needs of students and helping to </w:t>
      </w:r>
      <w:r w:rsidRPr="00AF6A6E">
        <w:t>shap</w:t>
      </w:r>
      <w:r>
        <w:t>e</w:t>
      </w:r>
      <w:r w:rsidRPr="00AF6A6E">
        <w:t xml:space="preserve"> </w:t>
      </w:r>
      <w:r>
        <w:t>Canada’s future</w:t>
      </w:r>
      <w:r w:rsidRPr="00AF6A6E">
        <w:t xml:space="preserve"> generation of </w:t>
      </w:r>
      <w:r>
        <w:t xml:space="preserve">change-makers and advocacy leaders, </w:t>
      </w:r>
      <w:r w:rsidRPr="007713E8">
        <w:t>innovators and entrepreneurs</w:t>
      </w:r>
      <w:r>
        <w:t>. As the next step in its evolution, Ryerson will enhance and expand its strong foundation of distinctive programs and SRC activities</w:t>
      </w:r>
      <w:r w:rsidR="00F52746">
        <w:t xml:space="preserve">. It will continue to </w:t>
      </w:r>
      <w:r>
        <w:t>cultivate leadership in new approaches to teaching and learning. The university will continue to foster innovation and entrepreneurship through zone learning and partnerships with public, private and not-for-profit organizations</w:t>
      </w:r>
      <w:r w:rsidR="00DE355F">
        <w:t>,</w:t>
      </w:r>
      <w:r>
        <w:t xml:space="preserve"> attract</w:t>
      </w:r>
      <w:r w:rsidR="00DE355F">
        <w:t>ing</w:t>
      </w:r>
      <w:r>
        <w:t xml:space="preserve"> the brightest and most ambitious innovators from around the world. </w:t>
      </w:r>
    </w:p>
    <w:p w:rsidR="007227DC" w:rsidRDefault="007227DC" w:rsidP="007227DC">
      <w:r>
        <w:t xml:space="preserve">As a city builder, Ryerson will </w:t>
      </w:r>
      <w:r w:rsidRPr="00AE61C1">
        <w:t>extend its community engagement</w:t>
      </w:r>
      <w:r w:rsidR="00DE355F">
        <w:t>.</w:t>
      </w:r>
      <w:r>
        <w:t xml:space="preserve"> </w:t>
      </w:r>
      <w:r w:rsidR="00DE355F">
        <w:t>The university will</w:t>
      </w:r>
      <w:r>
        <w:t xml:space="preserve"> draw new opportunities and global connections to the Greater Toronto Area that </w:t>
      </w:r>
      <w:proofErr w:type="gramStart"/>
      <w:r w:rsidR="00DE355F">
        <w:t>encourage</w:t>
      </w:r>
      <w:proofErr w:type="gramEnd"/>
      <w:r>
        <w:t xml:space="preserve"> social and cultural innovation and economic development. Ryerson will promote inclusion through clear pathways for transfer students, access and outreach initiatives and support for </w:t>
      </w:r>
      <w:r w:rsidR="00F4685A">
        <w:t>members of under-represented groups</w:t>
      </w:r>
      <w:r>
        <w:t xml:space="preserve">, and </w:t>
      </w:r>
      <w:r w:rsidR="00DE355F">
        <w:t xml:space="preserve">grow </w:t>
      </w:r>
      <w:r>
        <w:t>continuing education</w:t>
      </w:r>
      <w:r w:rsidR="00DE355F">
        <w:t xml:space="preserve"> offerings</w:t>
      </w:r>
      <w:r>
        <w:t xml:space="preserve"> on-campus and </w:t>
      </w:r>
      <w:r w:rsidR="00DE355F">
        <w:t>online</w:t>
      </w:r>
      <w:r>
        <w:t>.</w:t>
      </w:r>
    </w:p>
    <w:p w:rsidR="007227DC" w:rsidRDefault="007227DC" w:rsidP="007227DC">
      <w:r w:rsidRPr="00AE61C1">
        <w:t>Throughout its history, Ryerson has challenged conventional approaches to post-secondary education</w:t>
      </w:r>
      <w:r>
        <w:t>.</w:t>
      </w:r>
      <w:r w:rsidRPr="00AE61C1">
        <w:t xml:space="preserve"> </w:t>
      </w:r>
      <w:r>
        <w:t xml:space="preserve">Innovative thinking – </w:t>
      </w:r>
      <w:r w:rsidRPr="00AE61C1">
        <w:t xml:space="preserve">rooted in </w:t>
      </w:r>
      <w:r>
        <w:t>Ryerson’s</w:t>
      </w:r>
      <w:r w:rsidRPr="00AE61C1">
        <w:t xml:space="preserve"> culture</w:t>
      </w:r>
      <w:r>
        <w:t xml:space="preserve"> and infused in the community’s values – </w:t>
      </w:r>
      <w:r w:rsidRPr="00AE61C1">
        <w:t xml:space="preserve">is </w:t>
      </w:r>
      <w:r>
        <w:t>central to this</w:t>
      </w:r>
      <w:r w:rsidRPr="00AE61C1">
        <w:t xml:space="preserve"> vision.</w:t>
      </w:r>
    </w:p>
    <w:p w:rsidR="00B30853" w:rsidRDefault="00B30853" w:rsidP="00B30853"/>
    <w:p w:rsidR="00837D4E" w:rsidRDefault="00837D4E" w:rsidP="00E51985">
      <w:pPr>
        <w:sectPr w:rsidR="00837D4E" w:rsidSect="004B2B81">
          <w:pgSz w:w="12240" w:h="15840"/>
          <w:pgMar w:top="1440" w:right="1440" w:bottom="993" w:left="1440" w:header="720" w:footer="854" w:gutter="0"/>
          <w:cols w:space="720"/>
          <w:docGrid w:linePitch="360"/>
        </w:sectPr>
      </w:pPr>
    </w:p>
    <w:p w:rsidR="00387742" w:rsidRDefault="00387742" w:rsidP="00387742">
      <w:pPr>
        <w:pStyle w:val="Heading1"/>
      </w:pPr>
      <w:bookmarkStart w:id="16" w:name="_Toc262221906"/>
      <w:r>
        <w:lastRenderedPageBreak/>
        <w:t xml:space="preserve">Guided </w:t>
      </w:r>
      <w:r w:rsidR="00FD2DD4">
        <w:t>b</w:t>
      </w:r>
      <w:r>
        <w:t>y Values</w:t>
      </w:r>
      <w:bookmarkEnd w:id="16"/>
    </w:p>
    <w:p w:rsidR="00387742" w:rsidRDefault="00387742" w:rsidP="00387742">
      <w:pPr>
        <w:jc w:val="center"/>
        <w:rPr>
          <w:i/>
          <w:sz w:val="28"/>
          <w:szCs w:val="28"/>
          <w:shd w:val="clear" w:color="auto" w:fill="FFFFFF"/>
          <w:lang w:val="en-US"/>
        </w:rPr>
      </w:pPr>
      <w:r>
        <w:rPr>
          <w:i/>
          <w:sz w:val="28"/>
          <w:szCs w:val="28"/>
          <w:shd w:val="clear" w:color="auto" w:fill="FFFFFF"/>
          <w:lang w:val="en-US"/>
        </w:rPr>
        <w:t>In the pursuit of knowledge, therein you will find life.</w:t>
      </w:r>
    </w:p>
    <w:p w:rsidR="00387742" w:rsidRDefault="00387742" w:rsidP="00387742">
      <w:pPr>
        <w:spacing w:after="0"/>
        <w:jc w:val="right"/>
        <w:rPr>
          <w:lang w:val="en-US"/>
        </w:rPr>
      </w:pPr>
      <w:r>
        <w:rPr>
          <w:lang w:val="en-US"/>
        </w:rPr>
        <w:t xml:space="preserve">Simoogit </w:t>
      </w:r>
      <w:proofErr w:type="spellStart"/>
      <w:r>
        <w:rPr>
          <w:lang w:val="en-US"/>
        </w:rPr>
        <w:t>A</w:t>
      </w:r>
      <w:r>
        <w:rPr>
          <w:u w:val="single"/>
          <w:lang w:val="en-US"/>
        </w:rPr>
        <w:t>x</w:t>
      </w:r>
      <w:r>
        <w:rPr>
          <w:lang w:val="en-US"/>
        </w:rPr>
        <w:t>diiwilluugooda</w:t>
      </w:r>
      <w:proofErr w:type="spellEnd"/>
      <w:r>
        <w:rPr>
          <w:lang w:val="en-US"/>
        </w:rPr>
        <w:t>, Nis</w:t>
      </w:r>
      <w:r>
        <w:rPr>
          <w:u w:val="single"/>
          <w:lang w:val="en-US"/>
        </w:rPr>
        <w:t>g</w:t>
      </w:r>
      <w:r>
        <w:rPr>
          <w:lang w:val="en-US"/>
        </w:rPr>
        <w:t>a’a Nation</w:t>
      </w:r>
    </w:p>
    <w:p w:rsidR="00387742" w:rsidRPr="00223F64" w:rsidRDefault="00387742" w:rsidP="00387742">
      <w:pPr>
        <w:jc w:val="right"/>
        <w:rPr>
          <w:sz w:val="20"/>
          <w:szCs w:val="20"/>
          <w:lang w:val="en-US"/>
        </w:rPr>
      </w:pPr>
      <w:r w:rsidRPr="00223F64">
        <w:rPr>
          <w:sz w:val="20"/>
          <w:szCs w:val="20"/>
          <w:lang w:val="en-US"/>
        </w:rPr>
        <w:t>Translation Dr. Bert McKay</w:t>
      </w:r>
    </w:p>
    <w:p w:rsidR="00F664AE" w:rsidRDefault="0031179F" w:rsidP="00F664AE">
      <w:r>
        <w:t xml:space="preserve">The values that follow </w:t>
      </w:r>
      <w:r w:rsidRPr="0031179F">
        <w:t xml:space="preserve">illustrate </w:t>
      </w:r>
      <w:r>
        <w:t>Ryerson’s</w:t>
      </w:r>
      <w:r w:rsidRPr="0031179F">
        <w:t xml:space="preserve"> commitment to creating an open and accessible environment that is vibrant, inclusive and representative of an institution of excellence.</w:t>
      </w:r>
      <w:r>
        <w:t xml:space="preserve"> </w:t>
      </w:r>
      <w:r w:rsidR="001F7DE0">
        <w:t>Each of these values is important in its own right and together</w:t>
      </w:r>
      <w:r w:rsidR="00FD2DD4">
        <w:t xml:space="preserve"> the</w:t>
      </w:r>
      <w:r w:rsidR="00322DD2">
        <w:t>y</w:t>
      </w:r>
      <w:r w:rsidR="00FD2DD4">
        <w:t xml:space="preserve"> serve as the foundation of the academic plan’s aspirations and priorities.</w:t>
      </w:r>
      <w:r w:rsidR="00FD2DD4" w:rsidRPr="00AE61C1">
        <w:t xml:space="preserve"> </w:t>
      </w:r>
    </w:p>
    <w:p w:rsidR="00387742" w:rsidRPr="00F664AE" w:rsidRDefault="00E7217E" w:rsidP="00F664AE">
      <w:pPr>
        <w:pStyle w:val="Heading2"/>
      </w:pPr>
      <w:bookmarkStart w:id="17" w:name="_Toc387410410"/>
      <w:bookmarkStart w:id="18" w:name="_Toc262221907"/>
      <w:r>
        <w:rPr>
          <w:shd w:val="clear" w:color="auto" w:fill="FFFFFF"/>
          <w:lang w:val="en-US"/>
        </w:rPr>
        <w:t xml:space="preserve">Commitment </w:t>
      </w:r>
      <w:r w:rsidR="00FD2DD4">
        <w:rPr>
          <w:shd w:val="clear" w:color="auto" w:fill="FFFFFF"/>
          <w:lang w:val="en-US"/>
        </w:rPr>
        <w:t>to</w:t>
      </w:r>
      <w:r>
        <w:rPr>
          <w:shd w:val="clear" w:color="auto" w:fill="FFFFFF"/>
          <w:lang w:val="en-US"/>
        </w:rPr>
        <w:t xml:space="preserve"> Excellence</w:t>
      </w:r>
      <w:bookmarkEnd w:id="17"/>
      <w:bookmarkEnd w:id="18"/>
    </w:p>
    <w:p w:rsidR="00E7217E" w:rsidRDefault="00E7217E" w:rsidP="00387742">
      <w:pPr>
        <w:rPr>
          <w:b/>
          <w:i/>
        </w:rPr>
      </w:pPr>
      <w:r w:rsidRPr="00AE61C1">
        <w:rPr>
          <w:b/>
          <w:i/>
        </w:rPr>
        <w:t xml:space="preserve">Excellence: </w:t>
      </w:r>
      <w:r w:rsidRPr="00AE61C1">
        <w:t xml:space="preserve">The </w:t>
      </w:r>
      <w:proofErr w:type="gramStart"/>
      <w:r w:rsidRPr="00AE61C1">
        <w:t>university</w:t>
      </w:r>
      <w:proofErr w:type="gramEnd"/>
      <w:r w:rsidRPr="00AE61C1">
        <w:t xml:space="preserve"> strives for the highest standards in its </w:t>
      </w:r>
      <w:r w:rsidR="00862D1D">
        <w:t xml:space="preserve">programs, </w:t>
      </w:r>
      <w:r w:rsidRPr="00AE61C1">
        <w:t>teaching and learning, SRC activity, administration</w:t>
      </w:r>
      <w:r>
        <w:t xml:space="preserve"> and governance</w:t>
      </w:r>
      <w:r w:rsidRPr="00AE61C1">
        <w:t>.</w:t>
      </w:r>
    </w:p>
    <w:p w:rsidR="00387742" w:rsidRPr="00AE61C1" w:rsidRDefault="00387742" w:rsidP="00387742">
      <w:pPr>
        <w:rPr>
          <w:b/>
          <w:i/>
        </w:rPr>
      </w:pPr>
      <w:r w:rsidRPr="00AE61C1">
        <w:rPr>
          <w:b/>
          <w:i/>
        </w:rPr>
        <w:t xml:space="preserve">Academic </w:t>
      </w:r>
      <w:r w:rsidR="00A4394B">
        <w:rPr>
          <w:b/>
          <w:i/>
        </w:rPr>
        <w:t>F</w:t>
      </w:r>
      <w:r w:rsidRPr="00AE61C1">
        <w:rPr>
          <w:b/>
          <w:i/>
        </w:rPr>
        <w:t xml:space="preserve">reedom: </w:t>
      </w:r>
      <w:r w:rsidRPr="00AE61C1">
        <w:t xml:space="preserve">The </w:t>
      </w:r>
      <w:proofErr w:type="gramStart"/>
      <w:r w:rsidRPr="00AE61C1">
        <w:t>university</w:t>
      </w:r>
      <w:proofErr w:type="gramEnd"/>
      <w:r w:rsidRPr="00AE61C1">
        <w:t xml:space="preserve"> embraces unequivocally freedom of thought and expression in support of teaching, learning and SRC activity within a culture of mutual respect. </w:t>
      </w:r>
    </w:p>
    <w:p w:rsidR="00387742" w:rsidRDefault="00387742" w:rsidP="00387742">
      <w:r w:rsidRPr="00AE61C1">
        <w:rPr>
          <w:b/>
          <w:i/>
        </w:rPr>
        <w:t xml:space="preserve">Integrity: </w:t>
      </w:r>
      <w:r w:rsidRPr="00AE61C1">
        <w:t xml:space="preserve">The </w:t>
      </w:r>
      <w:proofErr w:type="gramStart"/>
      <w:r w:rsidRPr="00AE61C1">
        <w:t>university</w:t>
      </w:r>
      <w:proofErr w:type="gramEnd"/>
      <w:r w:rsidRPr="00AE61C1">
        <w:t xml:space="preserve"> expects students, faculty and staff to act in accord with the highest standards of conduct</w:t>
      </w:r>
      <w:r w:rsidR="00DE355F">
        <w:t>.</w:t>
      </w:r>
      <w:r w:rsidRPr="00AE61C1">
        <w:t xml:space="preserve"> The university strives to always manifest transparency, fairness and accountability in its processes of decision-making, administration and governance.</w:t>
      </w:r>
    </w:p>
    <w:p w:rsidR="00E7217E" w:rsidRDefault="00E7217E" w:rsidP="00E7217E">
      <w:r>
        <w:rPr>
          <w:b/>
          <w:i/>
        </w:rPr>
        <w:t xml:space="preserve">Enterprising: </w:t>
      </w:r>
      <w:r>
        <w:t xml:space="preserve">The </w:t>
      </w:r>
      <w:proofErr w:type="gramStart"/>
      <w:r>
        <w:t>university</w:t>
      </w:r>
      <w:proofErr w:type="gramEnd"/>
      <w:r>
        <w:t xml:space="preserve"> champions innovation and entrepreneurship, and empowers its students, faculty and staff to think creatively, take initiative and demonstrate resourcefulness.</w:t>
      </w:r>
    </w:p>
    <w:p w:rsidR="00E7217E" w:rsidRPr="00AE61C1" w:rsidRDefault="00E7217E" w:rsidP="00E7217E">
      <w:pPr>
        <w:rPr>
          <w:b/>
          <w:i/>
        </w:rPr>
      </w:pPr>
      <w:r w:rsidRPr="00AE61C1">
        <w:rPr>
          <w:b/>
          <w:i/>
        </w:rPr>
        <w:t xml:space="preserve">Sustainability: </w:t>
      </w:r>
      <w:r w:rsidRPr="00AE61C1">
        <w:t xml:space="preserve">The </w:t>
      </w:r>
      <w:proofErr w:type="gramStart"/>
      <w:r w:rsidRPr="00AE61C1">
        <w:t>university</w:t>
      </w:r>
      <w:proofErr w:type="gramEnd"/>
      <w:r w:rsidRPr="00AE61C1">
        <w:t xml:space="preserve"> takes responsibility for </w:t>
      </w:r>
      <w:r w:rsidR="006A6929">
        <w:t xml:space="preserve">a </w:t>
      </w:r>
      <w:r w:rsidRPr="00AE61C1">
        <w:t xml:space="preserve">shared future </w:t>
      </w:r>
      <w:r w:rsidR="006A6929">
        <w:t xml:space="preserve">with the broader community, </w:t>
      </w:r>
      <w:r w:rsidRPr="00AE61C1">
        <w:t>and aims to pursue environmental, social and economic sustainability through its programs, SRC activity</w:t>
      </w:r>
      <w:r>
        <w:t>, policies, built environment,</w:t>
      </w:r>
      <w:r w:rsidRPr="00AE61C1">
        <w:t xml:space="preserve"> and fiscally sound operations.</w:t>
      </w:r>
    </w:p>
    <w:p w:rsidR="00387742" w:rsidRPr="00AE61C1" w:rsidRDefault="00E7217E" w:rsidP="00F664AE">
      <w:pPr>
        <w:pStyle w:val="Heading2"/>
        <w:rPr>
          <w:i/>
        </w:rPr>
      </w:pPr>
      <w:bookmarkStart w:id="19" w:name="_Toc387410411"/>
      <w:bookmarkStart w:id="20" w:name="_Toc262221908"/>
      <w:r>
        <w:rPr>
          <w:shd w:val="clear" w:color="auto" w:fill="FFFFFF"/>
          <w:lang w:val="en-US"/>
        </w:rPr>
        <w:t xml:space="preserve">Commitment </w:t>
      </w:r>
      <w:r w:rsidR="00FD2DD4">
        <w:rPr>
          <w:shd w:val="clear" w:color="auto" w:fill="FFFFFF"/>
          <w:lang w:val="en-US"/>
        </w:rPr>
        <w:t>t</w:t>
      </w:r>
      <w:r>
        <w:rPr>
          <w:shd w:val="clear" w:color="auto" w:fill="FFFFFF"/>
          <w:lang w:val="en-US"/>
        </w:rPr>
        <w:t xml:space="preserve">o </w:t>
      </w:r>
      <w:r w:rsidR="00FD2DD4">
        <w:rPr>
          <w:shd w:val="clear" w:color="auto" w:fill="FFFFFF"/>
          <w:lang w:val="en-US"/>
        </w:rPr>
        <w:t>t</w:t>
      </w:r>
      <w:r>
        <w:rPr>
          <w:shd w:val="clear" w:color="auto" w:fill="FFFFFF"/>
          <w:lang w:val="en-US"/>
        </w:rPr>
        <w:t>he Whole Person</w:t>
      </w:r>
      <w:bookmarkEnd w:id="19"/>
      <w:bookmarkEnd w:id="20"/>
      <w:r>
        <w:rPr>
          <w:shd w:val="clear" w:color="auto" w:fill="FFFFFF"/>
          <w:lang w:val="en-US"/>
        </w:rPr>
        <w:t xml:space="preserve"> </w:t>
      </w:r>
    </w:p>
    <w:p w:rsidR="00387742" w:rsidRDefault="00387742" w:rsidP="00387742">
      <w:r w:rsidRPr="00AE61C1">
        <w:rPr>
          <w:b/>
          <w:i/>
        </w:rPr>
        <w:t xml:space="preserve">People First: </w:t>
      </w:r>
      <w:r w:rsidRPr="00AE61C1">
        <w:t xml:space="preserve">The university is committed to the success of its students, faculty and staff by creating a safe, secure </w:t>
      </w:r>
      <w:r>
        <w:t xml:space="preserve">and healthy </w:t>
      </w:r>
      <w:r w:rsidRPr="00AE61C1">
        <w:t xml:space="preserve">environment that puts people first, is supportive of the whole person and enhances the development of physical, mental and spiritual well-being. </w:t>
      </w:r>
    </w:p>
    <w:p w:rsidR="00387742" w:rsidRPr="00AE61C1" w:rsidRDefault="00387742" w:rsidP="00387742">
      <w:pPr>
        <w:rPr>
          <w:b/>
          <w:i/>
        </w:rPr>
      </w:pPr>
      <w:r w:rsidRPr="00AE61C1">
        <w:rPr>
          <w:b/>
          <w:i/>
        </w:rPr>
        <w:lastRenderedPageBreak/>
        <w:t xml:space="preserve">Collegiality: </w:t>
      </w:r>
      <w:r w:rsidRPr="00AE61C1">
        <w:t xml:space="preserve">The </w:t>
      </w:r>
      <w:proofErr w:type="gramStart"/>
      <w:r w:rsidRPr="00AE61C1">
        <w:t>university</w:t>
      </w:r>
      <w:proofErr w:type="gramEnd"/>
      <w:r w:rsidRPr="00AE61C1">
        <w:t xml:space="preserve"> fosters a collegial environment</w:t>
      </w:r>
      <w:r>
        <w:t xml:space="preserve"> and collegial institutions</w:t>
      </w:r>
      <w:r w:rsidRPr="00AE61C1">
        <w:t xml:space="preserve"> where students, faculty and staff work in collaborative ways to support the university’s shared mission. </w:t>
      </w:r>
    </w:p>
    <w:p w:rsidR="00387742" w:rsidRDefault="00387742" w:rsidP="00387742">
      <w:pPr>
        <w:rPr>
          <w:rFonts w:eastAsia="Times New Roman"/>
          <w:b/>
          <w:color w:val="222222"/>
          <w:lang w:val="en-US"/>
        </w:rPr>
      </w:pPr>
      <w:r w:rsidRPr="00AE61C1">
        <w:rPr>
          <w:b/>
          <w:i/>
        </w:rPr>
        <w:t xml:space="preserve">Lifelong </w:t>
      </w:r>
      <w:r w:rsidR="00A4394B">
        <w:rPr>
          <w:b/>
          <w:i/>
        </w:rPr>
        <w:t>L</w:t>
      </w:r>
      <w:r w:rsidRPr="00AE61C1">
        <w:rPr>
          <w:b/>
          <w:i/>
        </w:rPr>
        <w:t xml:space="preserve">earning: </w:t>
      </w:r>
      <w:r w:rsidRPr="00AE61C1">
        <w:t xml:space="preserve">The </w:t>
      </w:r>
      <w:proofErr w:type="gramStart"/>
      <w:r w:rsidRPr="00AE61C1">
        <w:t>university</w:t>
      </w:r>
      <w:proofErr w:type="gramEnd"/>
      <w:r w:rsidRPr="00AE61C1">
        <w:t xml:space="preserve"> encourages learning as a lifelong activity through accessible, responsive and comprehensive continuing education</w:t>
      </w:r>
      <w:r>
        <w:t>,</w:t>
      </w:r>
      <w:r w:rsidRPr="00AE61C1">
        <w:t xml:space="preserve"> </w:t>
      </w:r>
      <w:r>
        <w:t xml:space="preserve">and professional development and learning </w:t>
      </w:r>
      <w:r w:rsidRPr="00AE61C1">
        <w:t>opportunities</w:t>
      </w:r>
      <w:r>
        <w:t xml:space="preserve"> for students, faculty and staff</w:t>
      </w:r>
      <w:r w:rsidRPr="00AE61C1">
        <w:t>.</w:t>
      </w:r>
    </w:p>
    <w:p w:rsidR="00387742" w:rsidRPr="00387742" w:rsidRDefault="00E7217E" w:rsidP="00F664AE">
      <w:pPr>
        <w:pStyle w:val="Heading2"/>
      </w:pPr>
      <w:bookmarkStart w:id="21" w:name="_Toc387410412"/>
      <w:bookmarkStart w:id="22" w:name="_Toc262221909"/>
      <w:r>
        <w:rPr>
          <w:rStyle w:val="Heading1Char"/>
          <w:b/>
          <w:sz w:val="28"/>
          <w:szCs w:val="28"/>
        </w:rPr>
        <w:t>Commitment to Community and Inclusion</w:t>
      </w:r>
      <w:bookmarkEnd w:id="21"/>
      <w:bookmarkEnd w:id="22"/>
    </w:p>
    <w:p w:rsidR="00E7217E" w:rsidRDefault="00E7217E" w:rsidP="00E7217E">
      <w:r>
        <w:rPr>
          <w:b/>
          <w:i/>
        </w:rPr>
        <w:t>Community</w:t>
      </w:r>
      <w:r w:rsidRPr="00AE61C1">
        <w:rPr>
          <w:b/>
          <w:i/>
        </w:rPr>
        <w:t xml:space="preserve">: </w:t>
      </w:r>
      <w:r w:rsidRPr="00AE61C1">
        <w:t xml:space="preserve">The </w:t>
      </w:r>
      <w:proofErr w:type="gramStart"/>
      <w:r w:rsidRPr="00AE61C1">
        <w:t>university</w:t>
      </w:r>
      <w:proofErr w:type="gramEnd"/>
      <w:r w:rsidRPr="00AE61C1">
        <w:t xml:space="preserve"> sustains its commitment to ensuring a strong sense of belonging </w:t>
      </w:r>
      <w:r>
        <w:t xml:space="preserve">and engagement </w:t>
      </w:r>
      <w:r w:rsidRPr="00AE61C1">
        <w:t>for students, alumni, faculty and staff, and values mutual and reciprocal relationships with the broader community.</w:t>
      </w:r>
    </w:p>
    <w:p w:rsidR="00E7217E" w:rsidRDefault="00E7217E" w:rsidP="00387742">
      <w:pPr>
        <w:rPr>
          <w:b/>
          <w:i/>
        </w:rPr>
      </w:pPr>
      <w:r w:rsidRPr="00085023">
        <w:rPr>
          <w:b/>
          <w:i/>
        </w:rPr>
        <w:t>Inclusion</w:t>
      </w:r>
      <w:r w:rsidRPr="00085023">
        <w:rPr>
          <w:i/>
        </w:rPr>
        <w:t>:</w:t>
      </w:r>
      <w:r w:rsidRPr="00085023">
        <w:t xml:space="preserve"> The </w:t>
      </w:r>
      <w:proofErr w:type="gramStart"/>
      <w:r w:rsidRPr="00085023">
        <w:t>university</w:t>
      </w:r>
      <w:proofErr w:type="gramEnd"/>
      <w:r w:rsidRPr="00085023">
        <w:t xml:space="preserve"> values the </w:t>
      </w:r>
      <w:r>
        <w:t>equitable</w:t>
      </w:r>
      <w:r w:rsidRPr="00085023">
        <w:t>, intentional and ongoing engagement of diversity within every facet of university life</w:t>
      </w:r>
      <w:r w:rsidR="008C7258">
        <w:t>.</w:t>
      </w:r>
      <w:r w:rsidRPr="00085023">
        <w:t xml:space="preserve"> </w:t>
      </w:r>
      <w:r w:rsidR="008C7258">
        <w:t>I</w:t>
      </w:r>
      <w:r w:rsidR="006A6929">
        <w:t xml:space="preserve">t is </w:t>
      </w:r>
      <w:r w:rsidRPr="00085023">
        <w:t xml:space="preserve">the shared responsibility of all community members to </w:t>
      </w:r>
      <w:r w:rsidR="008A4746">
        <w:t>foster</w:t>
      </w:r>
      <w:r w:rsidRPr="00085023">
        <w:t xml:space="preserve"> </w:t>
      </w:r>
      <w:r w:rsidR="008C7258">
        <w:t xml:space="preserve">a welcoming, supportive and respectful </w:t>
      </w:r>
      <w:r w:rsidRPr="00085023">
        <w:t>learning, teaching, research and work environment.</w:t>
      </w:r>
    </w:p>
    <w:p w:rsidR="00387742" w:rsidRPr="00085023" w:rsidRDefault="00387742" w:rsidP="00387742">
      <w:r w:rsidRPr="00085023">
        <w:rPr>
          <w:b/>
          <w:i/>
        </w:rPr>
        <w:t>Equity</w:t>
      </w:r>
      <w:r w:rsidRPr="00085023">
        <w:rPr>
          <w:i/>
        </w:rPr>
        <w:t>:</w:t>
      </w:r>
      <w:r w:rsidRPr="00085023">
        <w:t xml:space="preserve"> The </w:t>
      </w:r>
      <w:proofErr w:type="gramStart"/>
      <w:r w:rsidRPr="00085023">
        <w:t>university</w:t>
      </w:r>
      <w:proofErr w:type="gramEnd"/>
      <w:r w:rsidRPr="00085023">
        <w:t xml:space="preserve"> values the fair and just treatment of all </w:t>
      </w:r>
      <w:r w:rsidR="001F3A64">
        <w:t xml:space="preserve">community </w:t>
      </w:r>
      <w:r w:rsidRPr="00085023">
        <w:t xml:space="preserve">members through the creation of opportunities </w:t>
      </w:r>
      <w:r w:rsidR="00FF075B">
        <w:t xml:space="preserve">and the removal of barriers </w:t>
      </w:r>
      <w:r w:rsidRPr="00085023">
        <w:t>to address historic and current disadvantage</w:t>
      </w:r>
      <w:r>
        <w:t>s</w:t>
      </w:r>
      <w:r w:rsidRPr="00085023">
        <w:t xml:space="preserve"> for under</w:t>
      </w:r>
      <w:r w:rsidR="00BC4152">
        <w:t>-</w:t>
      </w:r>
      <w:r w:rsidRPr="00085023">
        <w:t xml:space="preserve">represented </w:t>
      </w:r>
      <w:r w:rsidR="00FF075B">
        <w:t>and marginalized groups</w:t>
      </w:r>
      <w:r w:rsidRPr="00085023">
        <w:t xml:space="preserve">. </w:t>
      </w:r>
    </w:p>
    <w:p w:rsidR="00387742" w:rsidRPr="00085023" w:rsidRDefault="00387742" w:rsidP="00387742">
      <w:r w:rsidRPr="00085023">
        <w:rPr>
          <w:b/>
          <w:i/>
        </w:rPr>
        <w:t>Diversity</w:t>
      </w:r>
      <w:r w:rsidRPr="00085023">
        <w:rPr>
          <w:i/>
        </w:rPr>
        <w:t>:</w:t>
      </w:r>
      <w:r w:rsidRPr="00085023">
        <w:t xml:space="preserve"> The university values and respects </w:t>
      </w:r>
      <w:r w:rsidR="00FF075B">
        <w:t xml:space="preserve">diversity of </w:t>
      </w:r>
      <w:r w:rsidR="001C745B">
        <w:t xml:space="preserve">knowledge, worldviews and </w:t>
      </w:r>
      <w:r w:rsidR="00FF075B">
        <w:t>experience</w:t>
      </w:r>
      <w:r w:rsidR="001C745B">
        <w:t>s</w:t>
      </w:r>
      <w:r w:rsidR="00FF075B">
        <w:t xml:space="preserve"> that come from membership in different groups</w:t>
      </w:r>
      <w:r w:rsidRPr="00085023">
        <w:t xml:space="preserve">, and </w:t>
      </w:r>
      <w:r w:rsidR="00FF075B">
        <w:t xml:space="preserve">the contribution that diversity makes to </w:t>
      </w:r>
      <w:r w:rsidR="008C7258">
        <w:t xml:space="preserve">the </w:t>
      </w:r>
      <w:r w:rsidR="00FF075B">
        <w:t>learning, teaching</w:t>
      </w:r>
      <w:r w:rsidR="001F3A64">
        <w:t>, research</w:t>
      </w:r>
      <w:r w:rsidR="00FF075B">
        <w:t xml:space="preserve"> and work environment</w:t>
      </w:r>
      <w:r w:rsidRPr="00085023">
        <w:t>.</w:t>
      </w:r>
    </w:p>
    <w:p w:rsidR="00387742" w:rsidRDefault="00387742" w:rsidP="00387742">
      <w:r w:rsidRPr="00AE61C1">
        <w:rPr>
          <w:b/>
          <w:i/>
        </w:rPr>
        <w:t xml:space="preserve">Respect for Aboriginal </w:t>
      </w:r>
      <w:r w:rsidR="00211E94">
        <w:rPr>
          <w:b/>
          <w:i/>
        </w:rPr>
        <w:t>P</w:t>
      </w:r>
      <w:r w:rsidRPr="00AE61C1">
        <w:rPr>
          <w:b/>
          <w:i/>
        </w:rPr>
        <w:t xml:space="preserve">erspectives: </w:t>
      </w:r>
      <w:r w:rsidRPr="00AE61C1">
        <w:t xml:space="preserve">The </w:t>
      </w:r>
      <w:proofErr w:type="gramStart"/>
      <w:r w:rsidRPr="00AE61C1">
        <w:t>university</w:t>
      </w:r>
      <w:proofErr w:type="gramEnd"/>
      <w:r w:rsidRPr="00AE61C1">
        <w:t xml:space="preserve"> </w:t>
      </w:r>
      <w:r w:rsidR="00FF075B">
        <w:t xml:space="preserve">will continue to cultivate </w:t>
      </w:r>
      <w:r>
        <w:t xml:space="preserve">and </w:t>
      </w:r>
      <w:r w:rsidRPr="00AE61C1">
        <w:t xml:space="preserve">develop relationships with Aboriginal communities, both within and outside the university. </w:t>
      </w:r>
      <w:r w:rsidR="001F3A64">
        <w:t>The</w:t>
      </w:r>
      <w:r w:rsidRPr="00AE61C1">
        <w:t xml:space="preserve"> </w:t>
      </w:r>
      <w:r>
        <w:t>campus</w:t>
      </w:r>
      <w:r w:rsidRPr="00AE61C1">
        <w:t xml:space="preserve"> environment </w:t>
      </w:r>
      <w:r w:rsidR="001F3A64">
        <w:t>will</w:t>
      </w:r>
      <w:r w:rsidR="001F3A64" w:rsidRPr="00AE61C1">
        <w:t xml:space="preserve"> </w:t>
      </w:r>
      <w:r w:rsidRPr="00AE61C1">
        <w:t>embrace</w:t>
      </w:r>
      <w:r w:rsidR="00FD02D5">
        <w:t xml:space="preserve"> and </w:t>
      </w:r>
      <w:r w:rsidRPr="00AE61C1">
        <w:t>support</w:t>
      </w:r>
      <w:r w:rsidR="00FD02D5">
        <w:t xml:space="preserve"> Aboriginal learners,</w:t>
      </w:r>
      <w:r w:rsidRPr="00AE61C1">
        <w:t xml:space="preserve"> </w:t>
      </w:r>
      <w:r w:rsidR="00242A04" w:rsidRPr="00A07361">
        <w:t xml:space="preserve">faculty and staff, </w:t>
      </w:r>
      <w:r>
        <w:t xml:space="preserve">and ensure </w:t>
      </w:r>
      <w:r w:rsidRPr="00AE61C1">
        <w:t xml:space="preserve">Aboriginal </w:t>
      </w:r>
      <w:r>
        <w:t>people</w:t>
      </w:r>
      <w:r w:rsidRPr="00AE61C1">
        <w:t xml:space="preserve"> </w:t>
      </w:r>
      <w:r w:rsidR="008A4746">
        <w:t>take</w:t>
      </w:r>
      <w:r w:rsidR="009364F8">
        <w:t xml:space="preserve"> a leading role </w:t>
      </w:r>
      <w:r w:rsidRPr="00AE61C1">
        <w:t xml:space="preserve">in the advancement of Aboriginal education at Ryerson. </w:t>
      </w:r>
    </w:p>
    <w:p w:rsidR="00F664AE" w:rsidRDefault="00387742" w:rsidP="00FD2DD4">
      <w:pPr>
        <w:sectPr w:rsidR="00F664AE" w:rsidSect="004B2B81">
          <w:pgSz w:w="12240" w:h="15840"/>
          <w:pgMar w:top="1440" w:right="1440" w:bottom="993" w:left="1440" w:header="720" w:footer="854" w:gutter="0"/>
          <w:cols w:space="720"/>
          <w:docGrid w:linePitch="360"/>
        </w:sectPr>
      </w:pPr>
      <w:r w:rsidRPr="00AE61C1">
        <w:rPr>
          <w:b/>
          <w:i/>
        </w:rPr>
        <w:t xml:space="preserve">Access: </w:t>
      </w:r>
      <w:r w:rsidRPr="00AE61C1">
        <w:t xml:space="preserve">The university is committed to providing access </w:t>
      </w:r>
      <w:r>
        <w:t>to education and employment</w:t>
      </w:r>
      <w:r w:rsidR="005D3631">
        <w:t xml:space="preserve"> opportunities at Ryerson</w:t>
      </w:r>
      <w:r>
        <w:t xml:space="preserve"> for students, faculty and staff </w:t>
      </w:r>
      <w:r w:rsidRPr="00AE61C1">
        <w:t>of all backgrounds, in particular those from marginalized and under-represented groups.</w:t>
      </w:r>
    </w:p>
    <w:p w:rsidR="00397130" w:rsidRDefault="00397130" w:rsidP="00F664AE">
      <w:pPr>
        <w:pStyle w:val="Heading1"/>
      </w:pPr>
      <w:bookmarkStart w:id="23" w:name="_Toc262221910"/>
      <w:r>
        <w:lastRenderedPageBreak/>
        <w:t>Priorities</w:t>
      </w:r>
      <w:bookmarkEnd w:id="23"/>
    </w:p>
    <w:p w:rsidR="00F71C84" w:rsidRDefault="00F71C84" w:rsidP="00F71C84">
      <w:r>
        <w:t>Over the next five years, Ryerson will pursue its vision to be Canada’s leading comprehensive innovation university by focusing on four</w:t>
      </w:r>
      <w:r w:rsidR="00870370">
        <w:t xml:space="preserve"> interconnected</w:t>
      </w:r>
      <w:r>
        <w:t xml:space="preserve"> priorities:</w:t>
      </w:r>
    </w:p>
    <w:p w:rsidR="000F69C3" w:rsidRDefault="000F69C3" w:rsidP="000F69C3">
      <w:pPr>
        <w:pStyle w:val="PriorityTag"/>
      </w:pPr>
      <w:r w:rsidRPr="000F69C3">
        <w:t>PRIORITY ONE</w:t>
      </w:r>
    </w:p>
    <w:p w:rsidR="000F69C3" w:rsidRDefault="00837D4E" w:rsidP="00837D4E">
      <w:pPr>
        <w:pStyle w:val="Heading3"/>
        <w:spacing w:after="240"/>
      </w:pPr>
      <w:bookmarkStart w:id="24" w:name="_Toc387410414"/>
      <w:bookmarkStart w:id="25" w:name="_Toc262221911"/>
      <w:r>
        <w:t xml:space="preserve">Enable Greater </w:t>
      </w:r>
      <w:r w:rsidR="000F69C3" w:rsidRPr="000F69C3">
        <w:t>Student Engagement and Success t</w:t>
      </w:r>
      <w:r w:rsidR="000F69C3">
        <w:t xml:space="preserve">hrough Exceptional </w:t>
      </w:r>
      <w:r w:rsidR="000F69C3" w:rsidRPr="000F69C3">
        <w:t>Experience</w:t>
      </w:r>
      <w:r w:rsidR="000F69C3">
        <w:t>s</w:t>
      </w:r>
      <w:bookmarkEnd w:id="24"/>
      <w:bookmarkEnd w:id="25"/>
    </w:p>
    <w:p w:rsidR="00837D4E" w:rsidRDefault="00837D4E" w:rsidP="00837D4E">
      <w:pPr>
        <w:rPr>
          <w:lang w:eastAsia="en-CA"/>
        </w:rPr>
      </w:pPr>
      <w:r>
        <w:rPr>
          <w:lang w:eastAsia="en-CA"/>
        </w:rPr>
        <w:t>S</w:t>
      </w:r>
      <w:r w:rsidRPr="00AE61C1">
        <w:rPr>
          <w:lang w:eastAsia="en-CA"/>
        </w:rPr>
        <w:t>tudents are Ryerson’s top priority</w:t>
      </w:r>
      <w:r w:rsidR="009364F8">
        <w:rPr>
          <w:lang w:eastAsia="en-CA"/>
        </w:rPr>
        <w:t>,</w:t>
      </w:r>
      <w:r w:rsidR="001F3A64">
        <w:rPr>
          <w:lang w:eastAsia="en-CA"/>
        </w:rPr>
        <w:t xml:space="preserve"> and are </w:t>
      </w:r>
      <w:r w:rsidR="006F266E">
        <w:rPr>
          <w:lang w:eastAsia="en-CA"/>
        </w:rPr>
        <w:t>attracted by</w:t>
      </w:r>
      <w:r>
        <w:rPr>
          <w:lang w:eastAsia="en-CA"/>
        </w:rPr>
        <w:t xml:space="preserve"> high-quality programs </w:t>
      </w:r>
      <w:r w:rsidR="00C76DA1">
        <w:rPr>
          <w:lang w:eastAsia="en-CA"/>
        </w:rPr>
        <w:t>and</w:t>
      </w:r>
      <w:r>
        <w:rPr>
          <w:lang w:eastAsia="en-CA"/>
        </w:rPr>
        <w:t xml:space="preserve"> learning opportunities </w:t>
      </w:r>
      <w:r w:rsidR="009364F8">
        <w:rPr>
          <w:lang w:eastAsia="en-CA"/>
        </w:rPr>
        <w:t xml:space="preserve">that </w:t>
      </w:r>
      <w:r>
        <w:rPr>
          <w:lang w:eastAsia="en-CA"/>
        </w:rPr>
        <w:t xml:space="preserve">extend beyond </w:t>
      </w:r>
      <w:r w:rsidR="009364F8">
        <w:rPr>
          <w:lang w:eastAsia="en-CA"/>
        </w:rPr>
        <w:t>the classroom</w:t>
      </w:r>
      <w:r>
        <w:rPr>
          <w:lang w:eastAsia="en-CA"/>
        </w:rPr>
        <w:t>. Ryerson will provide students with exceptional experiences and opportunities – inside and outside the</w:t>
      </w:r>
      <w:r w:rsidR="006107A9">
        <w:rPr>
          <w:lang w:eastAsia="en-CA"/>
        </w:rPr>
        <w:t>ir programs and classes</w:t>
      </w:r>
      <w:r>
        <w:rPr>
          <w:lang w:eastAsia="en-CA"/>
        </w:rPr>
        <w:t xml:space="preserve">, locally and globally – </w:t>
      </w:r>
      <w:r w:rsidR="001F3A64">
        <w:rPr>
          <w:lang w:eastAsia="en-CA"/>
        </w:rPr>
        <w:t xml:space="preserve">to </w:t>
      </w:r>
      <w:r>
        <w:rPr>
          <w:lang w:eastAsia="en-CA"/>
        </w:rPr>
        <w:t xml:space="preserve">prepare </w:t>
      </w:r>
      <w:r w:rsidR="001F3A64">
        <w:rPr>
          <w:lang w:eastAsia="en-CA"/>
        </w:rPr>
        <w:t xml:space="preserve">them </w:t>
      </w:r>
      <w:r>
        <w:rPr>
          <w:lang w:eastAsia="en-CA"/>
        </w:rPr>
        <w:t xml:space="preserve">with the necessary skills to build thriving careers in today’s knowledge economy. </w:t>
      </w:r>
    </w:p>
    <w:p w:rsidR="00837D4E" w:rsidRDefault="00837D4E" w:rsidP="00837D4E">
      <w:pPr>
        <w:rPr>
          <w:lang w:eastAsia="en-CA"/>
        </w:rPr>
      </w:pPr>
      <w:r w:rsidRPr="00AE61C1">
        <w:rPr>
          <w:lang w:eastAsia="en-CA"/>
        </w:rPr>
        <w:t>This priority envisions a</w:t>
      </w:r>
      <w:r>
        <w:rPr>
          <w:lang w:eastAsia="en-CA"/>
        </w:rPr>
        <w:t xml:space="preserve"> rich </w:t>
      </w:r>
      <w:r w:rsidR="0025169A">
        <w:rPr>
          <w:lang w:eastAsia="en-CA"/>
        </w:rPr>
        <w:t xml:space="preserve">learning </w:t>
      </w:r>
      <w:r>
        <w:rPr>
          <w:lang w:eastAsia="en-CA"/>
        </w:rPr>
        <w:t xml:space="preserve">environment – intellectual, cultural, social, </w:t>
      </w:r>
      <w:r w:rsidRPr="0094461C">
        <w:rPr>
          <w:lang w:eastAsia="en-CA"/>
        </w:rPr>
        <w:t>technological</w:t>
      </w:r>
      <w:r>
        <w:rPr>
          <w:lang w:eastAsia="en-CA"/>
        </w:rPr>
        <w:t xml:space="preserve"> and physical</w:t>
      </w:r>
      <w:r>
        <w:rPr>
          <w:rFonts w:ascii="Calibri" w:hAnsi="Calibri"/>
          <w:lang w:eastAsia="en-CA"/>
        </w:rPr>
        <w:t xml:space="preserve"> – </w:t>
      </w:r>
      <w:r w:rsidRPr="0064425B">
        <w:rPr>
          <w:lang w:eastAsia="en-CA"/>
        </w:rPr>
        <w:t>where students</w:t>
      </w:r>
      <w:r w:rsidRPr="00AE61C1">
        <w:rPr>
          <w:lang w:eastAsia="en-CA"/>
        </w:rPr>
        <w:t xml:space="preserve"> are inspired and fully engaged, supported and encouraged to take advantage of diverse </w:t>
      </w:r>
      <w:r>
        <w:rPr>
          <w:lang w:eastAsia="en-CA"/>
        </w:rPr>
        <w:t>curricular and co-</w:t>
      </w:r>
      <w:r w:rsidRPr="00AE61C1">
        <w:rPr>
          <w:lang w:eastAsia="en-CA"/>
        </w:rPr>
        <w:t xml:space="preserve">curricular opportunities. Faculty and staff work </w:t>
      </w:r>
      <w:r w:rsidR="00533049">
        <w:rPr>
          <w:lang w:eastAsia="en-CA"/>
        </w:rPr>
        <w:t xml:space="preserve">collaboratively </w:t>
      </w:r>
      <w:r w:rsidRPr="00AE61C1">
        <w:rPr>
          <w:lang w:eastAsia="en-CA"/>
        </w:rPr>
        <w:t xml:space="preserve">to </w:t>
      </w:r>
      <w:r>
        <w:rPr>
          <w:lang w:eastAsia="en-CA"/>
        </w:rPr>
        <w:t>provide</w:t>
      </w:r>
      <w:r w:rsidRPr="00AE61C1">
        <w:rPr>
          <w:lang w:eastAsia="en-CA"/>
        </w:rPr>
        <w:t xml:space="preserve"> graduates </w:t>
      </w:r>
      <w:r>
        <w:rPr>
          <w:lang w:eastAsia="en-CA"/>
        </w:rPr>
        <w:t xml:space="preserve">with </w:t>
      </w:r>
      <w:r w:rsidR="00145E49">
        <w:rPr>
          <w:lang w:eastAsia="en-CA"/>
        </w:rPr>
        <w:t xml:space="preserve">strong intellectual </w:t>
      </w:r>
      <w:r w:rsidR="003C1A75">
        <w:rPr>
          <w:lang w:eastAsia="en-CA"/>
        </w:rPr>
        <w:t>foundations</w:t>
      </w:r>
      <w:r>
        <w:rPr>
          <w:lang w:eastAsia="en-CA"/>
        </w:rPr>
        <w:t xml:space="preserve">, </w:t>
      </w:r>
      <w:r w:rsidR="00C76DA1">
        <w:rPr>
          <w:lang w:eastAsia="en-CA"/>
        </w:rPr>
        <w:t xml:space="preserve">as well as </w:t>
      </w:r>
      <w:r>
        <w:rPr>
          <w:lang w:eastAsia="en-CA"/>
        </w:rPr>
        <w:t xml:space="preserve">transferable </w:t>
      </w:r>
      <w:r w:rsidRPr="00AE61C1">
        <w:rPr>
          <w:lang w:eastAsia="en-CA"/>
        </w:rPr>
        <w:t>skills</w:t>
      </w:r>
      <w:r w:rsidR="00C76DA1">
        <w:rPr>
          <w:lang w:eastAsia="en-CA"/>
        </w:rPr>
        <w:t xml:space="preserve"> </w:t>
      </w:r>
      <w:r>
        <w:rPr>
          <w:lang w:eastAsia="en-CA"/>
        </w:rPr>
        <w:t>needed to succeed in careers, become responsible global citizens and</w:t>
      </w:r>
      <w:r w:rsidRPr="00AE61C1">
        <w:rPr>
          <w:lang w:eastAsia="en-CA"/>
        </w:rPr>
        <w:t xml:space="preserve"> enable </w:t>
      </w:r>
      <w:r>
        <w:rPr>
          <w:lang w:eastAsia="en-CA"/>
        </w:rPr>
        <w:t xml:space="preserve">positive </w:t>
      </w:r>
      <w:r w:rsidRPr="00AE61C1">
        <w:rPr>
          <w:lang w:eastAsia="en-CA"/>
        </w:rPr>
        <w:t xml:space="preserve">change. </w:t>
      </w:r>
      <w:r w:rsidR="001540AC">
        <w:rPr>
          <w:lang w:eastAsia="en-CA"/>
        </w:rPr>
        <w:t xml:space="preserve">They </w:t>
      </w:r>
      <w:r>
        <w:rPr>
          <w:lang w:eastAsia="en-CA"/>
        </w:rPr>
        <w:t xml:space="preserve">recognize that </w:t>
      </w:r>
      <w:r w:rsidR="001540AC">
        <w:rPr>
          <w:lang w:eastAsia="en-CA"/>
        </w:rPr>
        <w:t>l</w:t>
      </w:r>
      <w:r>
        <w:rPr>
          <w:lang w:eastAsia="en-CA"/>
        </w:rPr>
        <w:t>earning occurs</w:t>
      </w:r>
      <w:r w:rsidRPr="00AE61C1">
        <w:rPr>
          <w:lang w:eastAsia="en-CA"/>
        </w:rPr>
        <w:t xml:space="preserve"> through interactions with </w:t>
      </w:r>
      <w:r>
        <w:rPr>
          <w:lang w:eastAsia="en-CA"/>
        </w:rPr>
        <w:t xml:space="preserve">diverse </w:t>
      </w:r>
      <w:r w:rsidRPr="00AE61C1">
        <w:rPr>
          <w:lang w:eastAsia="en-CA"/>
        </w:rPr>
        <w:t xml:space="preserve">faculty, </w:t>
      </w:r>
      <w:r>
        <w:rPr>
          <w:lang w:eastAsia="en-CA"/>
        </w:rPr>
        <w:t xml:space="preserve">industry practitioners, </w:t>
      </w:r>
      <w:r w:rsidRPr="00AE61C1">
        <w:rPr>
          <w:lang w:eastAsia="en-CA"/>
        </w:rPr>
        <w:t>peers and organizations in the community</w:t>
      </w:r>
      <w:r>
        <w:rPr>
          <w:lang w:eastAsia="en-CA"/>
        </w:rPr>
        <w:t>,</w:t>
      </w:r>
      <w:r w:rsidRPr="00AE61C1">
        <w:rPr>
          <w:lang w:eastAsia="en-CA"/>
        </w:rPr>
        <w:t xml:space="preserve"> and through experiential learning </w:t>
      </w:r>
      <w:r w:rsidR="005D3631">
        <w:rPr>
          <w:lang w:eastAsia="en-CA"/>
        </w:rPr>
        <w:t xml:space="preserve">and research </w:t>
      </w:r>
      <w:r w:rsidRPr="00AE61C1">
        <w:rPr>
          <w:lang w:eastAsia="en-CA"/>
        </w:rPr>
        <w:t>opportunities</w:t>
      </w:r>
      <w:r w:rsidR="005D3631">
        <w:rPr>
          <w:lang w:eastAsia="en-CA"/>
        </w:rPr>
        <w:t>. A</w:t>
      </w:r>
      <w:r w:rsidRPr="00AE61C1">
        <w:rPr>
          <w:lang w:eastAsia="en-CA"/>
        </w:rPr>
        <w:t>ctive participation in a vibrant and inclusive campus life</w:t>
      </w:r>
      <w:r>
        <w:rPr>
          <w:lang w:eastAsia="en-CA"/>
        </w:rPr>
        <w:t xml:space="preserve"> </w:t>
      </w:r>
      <w:r w:rsidR="005D3631">
        <w:rPr>
          <w:lang w:eastAsia="en-CA"/>
        </w:rPr>
        <w:t>also</w:t>
      </w:r>
      <w:r>
        <w:rPr>
          <w:lang w:eastAsia="en-CA"/>
        </w:rPr>
        <w:t xml:space="preserve"> build</w:t>
      </w:r>
      <w:r w:rsidR="005D3631">
        <w:rPr>
          <w:lang w:eastAsia="en-CA"/>
        </w:rPr>
        <w:t>s</w:t>
      </w:r>
      <w:r>
        <w:rPr>
          <w:lang w:eastAsia="en-CA"/>
        </w:rPr>
        <w:t xml:space="preserve"> a stronger </w:t>
      </w:r>
      <w:r w:rsidRPr="00AE61C1">
        <w:rPr>
          <w:lang w:eastAsia="en-CA"/>
        </w:rPr>
        <w:t>sense of community for all students</w:t>
      </w:r>
      <w:r>
        <w:rPr>
          <w:lang w:eastAsia="en-CA"/>
        </w:rPr>
        <w:t xml:space="preserve">. </w:t>
      </w:r>
    </w:p>
    <w:p w:rsidR="00837D4E" w:rsidRDefault="00837D4E" w:rsidP="00837D4E">
      <w:pPr>
        <w:rPr>
          <w:lang w:eastAsia="en-CA"/>
        </w:rPr>
      </w:pPr>
      <w:r w:rsidRPr="00EB159D">
        <w:rPr>
          <w:lang w:eastAsia="en-CA"/>
        </w:rPr>
        <w:t xml:space="preserve">This priority </w:t>
      </w:r>
      <w:r w:rsidR="00C76DA1">
        <w:rPr>
          <w:lang w:eastAsia="en-CA"/>
        </w:rPr>
        <w:t>stems from a</w:t>
      </w:r>
      <w:r w:rsidRPr="003272D3">
        <w:rPr>
          <w:lang w:eastAsia="en-CA"/>
        </w:rPr>
        <w:t xml:space="preserve"> shared responsibility for excellence in every aspect of Ryerson’s </w:t>
      </w:r>
      <w:r w:rsidR="0025169A">
        <w:rPr>
          <w:lang w:eastAsia="en-CA"/>
        </w:rPr>
        <w:t xml:space="preserve">learning </w:t>
      </w:r>
      <w:r w:rsidRPr="003272D3">
        <w:rPr>
          <w:lang w:eastAsia="en-CA"/>
        </w:rPr>
        <w:t xml:space="preserve">environment so that </w:t>
      </w:r>
      <w:r w:rsidR="006107A9">
        <w:rPr>
          <w:lang w:eastAsia="en-CA"/>
        </w:rPr>
        <w:t xml:space="preserve">all </w:t>
      </w:r>
      <w:r w:rsidRPr="003272D3">
        <w:rPr>
          <w:lang w:eastAsia="en-CA"/>
        </w:rPr>
        <w:t xml:space="preserve">students </w:t>
      </w:r>
      <w:r w:rsidR="0025169A">
        <w:rPr>
          <w:lang w:eastAsia="en-CA"/>
        </w:rPr>
        <w:t xml:space="preserve">– </w:t>
      </w:r>
      <w:r w:rsidR="006107A9" w:rsidRPr="00FB60B4">
        <w:rPr>
          <w:lang w:eastAsia="en-CA"/>
        </w:rPr>
        <w:t xml:space="preserve">including </w:t>
      </w:r>
      <w:r w:rsidR="006107A9">
        <w:rPr>
          <w:lang w:eastAsia="en-CA"/>
        </w:rPr>
        <w:t xml:space="preserve">undergraduate and </w:t>
      </w:r>
      <w:r w:rsidR="006107A9" w:rsidRPr="00FB60B4">
        <w:rPr>
          <w:lang w:eastAsia="en-CA"/>
        </w:rPr>
        <w:t>graduate, Aboriginal</w:t>
      </w:r>
      <w:r w:rsidR="00145E49">
        <w:rPr>
          <w:lang w:eastAsia="en-CA"/>
        </w:rPr>
        <w:t>,</w:t>
      </w:r>
      <w:r w:rsidR="006107A9" w:rsidRPr="00FB60B4">
        <w:rPr>
          <w:lang w:eastAsia="en-CA"/>
        </w:rPr>
        <w:t xml:space="preserve"> </w:t>
      </w:r>
      <w:r w:rsidR="00145E49">
        <w:rPr>
          <w:lang w:eastAsia="en-CA"/>
        </w:rPr>
        <w:t xml:space="preserve">first generation, </w:t>
      </w:r>
      <w:r w:rsidR="006107A9" w:rsidRPr="00FB60B4">
        <w:rPr>
          <w:lang w:eastAsia="en-CA"/>
        </w:rPr>
        <w:t>international</w:t>
      </w:r>
      <w:r w:rsidR="00145E49">
        <w:rPr>
          <w:lang w:eastAsia="en-CA"/>
        </w:rPr>
        <w:t>,</w:t>
      </w:r>
      <w:r w:rsidR="006107A9" w:rsidRPr="00FB60B4">
        <w:rPr>
          <w:lang w:eastAsia="en-CA"/>
        </w:rPr>
        <w:t xml:space="preserve"> adult learners and students with disabilities</w:t>
      </w:r>
      <w:r w:rsidR="006107A9" w:rsidRPr="003272D3">
        <w:rPr>
          <w:lang w:eastAsia="en-CA"/>
        </w:rPr>
        <w:t xml:space="preserve"> </w:t>
      </w:r>
      <w:r w:rsidR="00145E49">
        <w:rPr>
          <w:lang w:eastAsia="en-CA"/>
        </w:rPr>
        <w:t xml:space="preserve">– can </w:t>
      </w:r>
      <w:r w:rsidRPr="003272D3">
        <w:rPr>
          <w:lang w:eastAsia="en-CA"/>
        </w:rPr>
        <w:t xml:space="preserve">experience broad intellectual and personal growth during their academic </w:t>
      </w:r>
      <w:r w:rsidR="00C76DA1">
        <w:rPr>
          <w:lang w:eastAsia="en-CA"/>
        </w:rPr>
        <w:t>careers</w:t>
      </w:r>
      <w:r w:rsidRPr="003272D3">
        <w:rPr>
          <w:lang w:eastAsia="en-CA"/>
        </w:rPr>
        <w:t xml:space="preserve">, </w:t>
      </w:r>
      <w:r>
        <w:rPr>
          <w:lang w:eastAsia="en-CA"/>
        </w:rPr>
        <w:t xml:space="preserve">have access to </w:t>
      </w:r>
      <w:r w:rsidRPr="003272D3">
        <w:rPr>
          <w:lang w:eastAsia="en-CA"/>
        </w:rPr>
        <w:t xml:space="preserve">the </w:t>
      </w:r>
      <w:r>
        <w:rPr>
          <w:lang w:eastAsia="en-CA"/>
        </w:rPr>
        <w:t xml:space="preserve">supports and </w:t>
      </w:r>
      <w:r w:rsidRPr="00FB60B4">
        <w:rPr>
          <w:lang w:eastAsia="en-CA"/>
        </w:rPr>
        <w:t xml:space="preserve">services they need to succeed, and </w:t>
      </w:r>
      <w:r>
        <w:rPr>
          <w:lang w:eastAsia="en-CA"/>
        </w:rPr>
        <w:t>participate in</w:t>
      </w:r>
      <w:r w:rsidRPr="00FB60B4">
        <w:rPr>
          <w:lang w:eastAsia="en-CA"/>
        </w:rPr>
        <w:t xml:space="preserve"> a</w:t>
      </w:r>
      <w:r w:rsidR="009F6B24">
        <w:rPr>
          <w:lang w:eastAsia="en-CA"/>
        </w:rPr>
        <w:t>n</w:t>
      </w:r>
      <w:r w:rsidRPr="00FB60B4">
        <w:rPr>
          <w:lang w:eastAsia="en-CA"/>
        </w:rPr>
        <w:t xml:space="preserve"> equitable and inclusive environment. </w:t>
      </w:r>
    </w:p>
    <w:p w:rsidR="00837D4E" w:rsidRDefault="00837D4E" w:rsidP="00837D4E">
      <w:pPr>
        <w:rPr>
          <w:lang w:eastAsia="en-CA"/>
        </w:rPr>
      </w:pPr>
      <w:r w:rsidRPr="00FB60B4">
        <w:rPr>
          <w:lang w:eastAsia="en-CA"/>
        </w:rPr>
        <w:t xml:space="preserve">Ryerson </w:t>
      </w:r>
      <w:r w:rsidR="008C56DB">
        <w:rPr>
          <w:lang w:eastAsia="en-CA"/>
        </w:rPr>
        <w:t xml:space="preserve">will </w:t>
      </w:r>
      <w:r w:rsidRPr="00FB60B4">
        <w:rPr>
          <w:lang w:eastAsia="en-CA"/>
        </w:rPr>
        <w:t xml:space="preserve">continue fostering </w:t>
      </w:r>
      <w:r w:rsidRPr="008F43EE">
        <w:rPr>
          <w:lang w:eastAsia="en-CA"/>
        </w:rPr>
        <w:t>program and teaching excellence and offer greater interdisciplinary opportunities for undergraduate and graduate students</w:t>
      </w:r>
      <w:r w:rsidRPr="003272D3">
        <w:rPr>
          <w:lang w:eastAsia="en-CA"/>
        </w:rPr>
        <w:t xml:space="preserve">. </w:t>
      </w:r>
      <w:r>
        <w:rPr>
          <w:lang w:eastAsia="en-CA"/>
        </w:rPr>
        <w:t>The university will continue enhancing education by e</w:t>
      </w:r>
      <w:r w:rsidRPr="008F43EE">
        <w:rPr>
          <w:lang w:eastAsia="en-CA"/>
        </w:rPr>
        <w:t>xpanding experiential learning</w:t>
      </w:r>
      <w:r w:rsidR="00C53B81">
        <w:rPr>
          <w:lang w:eastAsia="en-CA"/>
        </w:rPr>
        <w:t xml:space="preserve"> opportunities</w:t>
      </w:r>
      <w:r w:rsidR="005D3631">
        <w:rPr>
          <w:lang w:eastAsia="en-CA"/>
        </w:rPr>
        <w:t xml:space="preserve">. Recognizing </w:t>
      </w:r>
      <w:r w:rsidR="009F6B24">
        <w:rPr>
          <w:lang w:eastAsia="en-CA"/>
        </w:rPr>
        <w:t xml:space="preserve">that </w:t>
      </w:r>
      <w:r w:rsidR="005D3631">
        <w:rPr>
          <w:lang w:eastAsia="en-CA"/>
        </w:rPr>
        <w:t xml:space="preserve">many instructors already </w:t>
      </w:r>
      <w:r w:rsidR="002C147B">
        <w:rPr>
          <w:lang w:eastAsia="en-CA"/>
        </w:rPr>
        <w:t xml:space="preserve">use </w:t>
      </w:r>
      <w:r w:rsidR="008C7258">
        <w:rPr>
          <w:lang w:eastAsia="en-CA"/>
        </w:rPr>
        <w:t>technology</w:t>
      </w:r>
      <w:r w:rsidR="005D3631">
        <w:rPr>
          <w:lang w:eastAsia="en-CA"/>
        </w:rPr>
        <w:t xml:space="preserve"> </w:t>
      </w:r>
      <w:r w:rsidR="002C147B">
        <w:rPr>
          <w:lang w:eastAsia="en-CA"/>
        </w:rPr>
        <w:t>in the classroom</w:t>
      </w:r>
      <w:r w:rsidR="005D3631">
        <w:rPr>
          <w:lang w:eastAsia="en-CA"/>
        </w:rPr>
        <w:t>, the university will strategically develop opportunities to increase the use of best practices in e-learning in a greater number of programs and courses.</w:t>
      </w:r>
    </w:p>
    <w:p w:rsidR="00837D4E" w:rsidRDefault="00837D4E" w:rsidP="00837D4E">
      <w:pPr>
        <w:rPr>
          <w:lang w:eastAsia="en-CA"/>
        </w:rPr>
      </w:pPr>
      <w:r>
        <w:rPr>
          <w:lang w:eastAsia="en-CA"/>
        </w:rPr>
        <w:lastRenderedPageBreak/>
        <w:t>By offering exceptional experiences and opportunities, Ryerson will make its unique approach to education a distinct advantage for undergraduate</w:t>
      </w:r>
      <w:r w:rsidR="005D3631">
        <w:rPr>
          <w:lang w:eastAsia="en-CA"/>
        </w:rPr>
        <w:t xml:space="preserve">, </w:t>
      </w:r>
      <w:r>
        <w:rPr>
          <w:lang w:eastAsia="en-CA"/>
        </w:rPr>
        <w:t xml:space="preserve">graduate </w:t>
      </w:r>
      <w:r w:rsidR="005D3631">
        <w:rPr>
          <w:lang w:eastAsia="en-CA"/>
        </w:rPr>
        <w:t xml:space="preserve">and continuing education </w:t>
      </w:r>
      <w:r>
        <w:rPr>
          <w:lang w:eastAsia="en-CA"/>
        </w:rPr>
        <w:t>students.</w:t>
      </w:r>
    </w:p>
    <w:p w:rsidR="00837D4E" w:rsidRDefault="00837D4E" w:rsidP="00837D4E">
      <w:pPr>
        <w:pStyle w:val="PriorityTag"/>
      </w:pPr>
      <w:r w:rsidRPr="000F69C3">
        <w:t xml:space="preserve">PRIORITY </w:t>
      </w:r>
      <w:r>
        <w:t>TWO</w:t>
      </w:r>
    </w:p>
    <w:p w:rsidR="00837D4E" w:rsidRPr="003719BA" w:rsidRDefault="00837D4E" w:rsidP="00837D4E">
      <w:pPr>
        <w:pStyle w:val="Heading3"/>
        <w:spacing w:after="240"/>
        <w:rPr>
          <w:rFonts w:eastAsia="Times New Roman"/>
          <w:color w:val="000000"/>
          <w:lang w:eastAsia="en-CA"/>
        </w:rPr>
      </w:pPr>
      <w:bookmarkStart w:id="26" w:name="_Toc387410415"/>
      <w:bookmarkStart w:id="27" w:name="_Toc262221912"/>
      <w:r w:rsidRPr="003719BA">
        <w:rPr>
          <w:lang w:eastAsia="en-CA"/>
        </w:rPr>
        <w:t xml:space="preserve">Increase SRC </w:t>
      </w:r>
      <w:r w:rsidR="00403BC4">
        <w:rPr>
          <w:lang w:eastAsia="en-CA"/>
        </w:rPr>
        <w:t>E</w:t>
      </w:r>
      <w:r w:rsidRPr="003719BA">
        <w:rPr>
          <w:lang w:eastAsia="en-CA"/>
        </w:rPr>
        <w:t xml:space="preserve">xcellence, </w:t>
      </w:r>
      <w:r w:rsidR="00403BC4">
        <w:rPr>
          <w:lang w:eastAsia="en-CA"/>
        </w:rPr>
        <w:t>I</w:t>
      </w:r>
      <w:r w:rsidRPr="003719BA">
        <w:rPr>
          <w:lang w:eastAsia="en-CA"/>
        </w:rPr>
        <w:t xml:space="preserve">ntensity and </w:t>
      </w:r>
      <w:r w:rsidR="00403BC4">
        <w:rPr>
          <w:lang w:eastAsia="en-CA"/>
        </w:rPr>
        <w:t>I</w:t>
      </w:r>
      <w:r w:rsidRPr="003719BA">
        <w:rPr>
          <w:lang w:eastAsia="en-CA"/>
        </w:rPr>
        <w:t>mpact</w:t>
      </w:r>
      <w:bookmarkEnd w:id="26"/>
      <w:bookmarkEnd w:id="27"/>
    </w:p>
    <w:p w:rsidR="00837D4E" w:rsidRPr="00837D4E" w:rsidRDefault="006107A9" w:rsidP="00837D4E">
      <w:r>
        <w:rPr>
          <w:lang w:eastAsia="en-CA"/>
        </w:rPr>
        <w:t xml:space="preserve">Excellence in </w:t>
      </w:r>
      <w:r w:rsidR="0025169A">
        <w:rPr>
          <w:lang w:eastAsia="en-CA"/>
        </w:rPr>
        <w:t>scholarly, research and creative</w:t>
      </w:r>
      <w:r w:rsidR="0025169A" w:rsidRPr="00837D4E">
        <w:rPr>
          <w:lang w:eastAsia="en-CA"/>
        </w:rPr>
        <w:t xml:space="preserve"> </w:t>
      </w:r>
      <w:r w:rsidR="00837D4E" w:rsidRPr="00837D4E">
        <w:rPr>
          <w:lang w:eastAsia="en-CA"/>
        </w:rPr>
        <w:t xml:space="preserve">activity </w:t>
      </w:r>
      <w:r w:rsidR="003A4906">
        <w:rPr>
          <w:lang w:eastAsia="en-CA"/>
        </w:rPr>
        <w:t>has been</w:t>
      </w:r>
      <w:r w:rsidR="003A4906" w:rsidRPr="00837D4E">
        <w:rPr>
          <w:lang w:eastAsia="en-CA"/>
        </w:rPr>
        <w:t xml:space="preserve"> </w:t>
      </w:r>
      <w:r w:rsidR="00837D4E" w:rsidRPr="00837D4E">
        <w:t xml:space="preserve">fundamental to Ryerson’s </w:t>
      </w:r>
      <w:r w:rsidR="003A4906">
        <w:t xml:space="preserve">evolution as </w:t>
      </w:r>
      <w:r w:rsidR="00837D4E" w:rsidRPr="00837D4E">
        <w:t>a comprehensive innovation university</w:t>
      </w:r>
      <w:r w:rsidR="0040690C">
        <w:t>. I</w:t>
      </w:r>
      <w:r w:rsidR="003A4906">
        <w:t xml:space="preserve">ts SRC agenda is </w:t>
      </w:r>
      <w:r w:rsidR="00837D4E" w:rsidRPr="00837D4E">
        <w:t>gain</w:t>
      </w:r>
      <w:r w:rsidR="003A4906">
        <w:t>ing</w:t>
      </w:r>
      <w:r w:rsidR="00837D4E" w:rsidRPr="00837D4E">
        <w:t xml:space="preserve"> momentum</w:t>
      </w:r>
      <w:r w:rsidR="0040690C">
        <w:t xml:space="preserve"> and is broadly recognized for its value and contributions to community, industry and society</w:t>
      </w:r>
      <w:r w:rsidR="00837D4E" w:rsidRPr="00837D4E">
        <w:t xml:space="preserve">. Ryerson will continue </w:t>
      </w:r>
      <w:r w:rsidR="003A4906">
        <w:t>to build</w:t>
      </w:r>
      <w:r w:rsidR="003A4906" w:rsidRPr="00837D4E">
        <w:t xml:space="preserve"> </w:t>
      </w:r>
      <w:r w:rsidR="003A4906">
        <w:t>a</w:t>
      </w:r>
      <w:r w:rsidR="003A4906" w:rsidRPr="00837D4E">
        <w:t xml:space="preserve"> </w:t>
      </w:r>
      <w:r w:rsidR="00837D4E" w:rsidRPr="00837D4E">
        <w:t xml:space="preserve">culture </w:t>
      </w:r>
      <w:r w:rsidR="003A4906">
        <w:t xml:space="preserve">that fosters inquiry, </w:t>
      </w:r>
      <w:r w:rsidR="00DD0F8C">
        <w:t xml:space="preserve">discovery, </w:t>
      </w:r>
      <w:r w:rsidR="003A4906">
        <w:t>knowledge</w:t>
      </w:r>
      <w:r w:rsidR="00DD0F8C">
        <w:t xml:space="preserve"> </w:t>
      </w:r>
      <w:r w:rsidR="0040690C">
        <w:t xml:space="preserve">and creative works. </w:t>
      </w:r>
      <w:r w:rsidR="003A4906">
        <w:t xml:space="preserve">This commitment will </w:t>
      </w:r>
      <w:r w:rsidR="00837D4E" w:rsidRPr="00837D4E">
        <w:t xml:space="preserve">support </w:t>
      </w:r>
      <w:r w:rsidR="003A4906">
        <w:t>Ryerson’s</w:t>
      </w:r>
      <w:r w:rsidR="003A4906" w:rsidRPr="00837D4E">
        <w:t xml:space="preserve"> </w:t>
      </w:r>
      <w:r w:rsidR="00837D4E" w:rsidRPr="00837D4E">
        <w:t xml:space="preserve">strong </w:t>
      </w:r>
      <w:r w:rsidR="003A4906">
        <w:t xml:space="preserve">forward </w:t>
      </w:r>
      <w:r w:rsidR="00837D4E" w:rsidRPr="00837D4E">
        <w:t xml:space="preserve">trajectory in </w:t>
      </w:r>
      <w:r w:rsidR="00FC1274">
        <w:t>research</w:t>
      </w:r>
      <w:r w:rsidR="00FC1274" w:rsidRPr="00837D4E">
        <w:t xml:space="preserve"> </w:t>
      </w:r>
      <w:r w:rsidR="00837D4E" w:rsidRPr="00837D4E">
        <w:t>growth</w:t>
      </w:r>
      <w:r w:rsidR="00CF5AA5">
        <w:t>,</w:t>
      </w:r>
      <w:r w:rsidR="00837D4E" w:rsidRPr="00837D4E">
        <w:t xml:space="preserve"> </w:t>
      </w:r>
      <w:r w:rsidR="003A4906">
        <w:t xml:space="preserve">further </w:t>
      </w:r>
      <w:r w:rsidR="00837D4E" w:rsidRPr="00837D4E">
        <w:t xml:space="preserve">raise its reputation for high-quality </w:t>
      </w:r>
      <w:r w:rsidR="000826A9">
        <w:t>research and creative endeavours</w:t>
      </w:r>
      <w:r w:rsidR="00CF5AA5">
        <w:t xml:space="preserve">, </w:t>
      </w:r>
      <w:r w:rsidR="00837D4E" w:rsidRPr="00837D4E" w:rsidDel="00CB4644">
        <w:t>and drive innovation across sectors</w:t>
      </w:r>
      <w:r w:rsidR="00592643">
        <w:t xml:space="preserve"> – </w:t>
      </w:r>
      <w:r w:rsidR="002C147B">
        <w:t>all the</w:t>
      </w:r>
      <w:r w:rsidR="00CF5AA5">
        <w:t xml:space="preserve"> while recognizing </w:t>
      </w:r>
      <w:r w:rsidR="0040690C">
        <w:t xml:space="preserve">and celebrating </w:t>
      </w:r>
      <w:r w:rsidR="00CF5AA5">
        <w:t xml:space="preserve">the distinctive </w:t>
      </w:r>
      <w:r w:rsidR="002C147B">
        <w:t xml:space="preserve">SRC </w:t>
      </w:r>
      <w:r w:rsidR="00CF5AA5">
        <w:t>strengths of its programs and faculties</w:t>
      </w:r>
      <w:r w:rsidR="002C147B">
        <w:t xml:space="preserve"> across disciplines</w:t>
      </w:r>
      <w:r w:rsidR="00837D4E" w:rsidRPr="00837D4E" w:rsidDel="00CB4644">
        <w:t>.</w:t>
      </w:r>
    </w:p>
    <w:p w:rsidR="00837D4E" w:rsidRPr="00837D4E" w:rsidRDefault="00837D4E" w:rsidP="00837D4E">
      <w:r w:rsidRPr="00837D4E">
        <w:t>Ryerson aspires to become one of Canada’s top 10 non-medical research universities in terms of research funding, and a leader in applied SRC in collaboration with community, industry and government partners. It has led the province in research funding growth in recent years. To continue moving its SRC enterprise forward, the university aims to engage a greater number of undergraduate and graduate students and faculty members in collaborative and interdisciplinary pursuits</w:t>
      </w:r>
      <w:r w:rsidR="00983201">
        <w:t>. Attention will be placed on</w:t>
      </w:r>
      <w:r w:rsidRPr="00837D4E">
        <w:t xml:space="preserve"> attract</w:t>
      </w:r>
      <w:r w:rsidR="00983201">
        <w:t>ing strong</w:t>
      </w:r>
      <w:r w:rsidRPr="00837D4E">
        <w:t xml:space="preserve"> researchers, external funding and partners that will support increased activity and quality. </w:t>
      </w:r>
      <w:r w:rsidR="00592643">
        <w:t>I</w:t>
      </w:r>
      <w:r w:rsidRPr="00837D4E">
        <w:t>ntegral</w:t>
      </w:r>
      <w:r w:rsidR="00592643">
        <w:t xml:space="preserve"> to the long-term success and sustainability of a robust SRC culture are </w:t>
      </w:r>
      <w:r w:rsidRPr="00837D4E">
        <w:t xml:space="preserve">graduate </w:t>
      </w:r>
      <w:r w:rsidR="00592643">
        <w:t>programs.</w:t>
      </w:r>
      <w:r w:rsidRPr="00837D4E">
        <w:t xml:space="preserve"> Ryerson will foster excellence in graduate studies in order to effectively attract and </w:t>
      </w:r>
      <w:r w:rsidR="002C147B">
        <w:t>retain</w:t>
      </w:r>
      <w:r w:rsidR="002C147B" w:rsidRPr="00837D4E">
        <w:t xml:space="preserve"> </w:t>
      </w:r>
      <w:r w:rsidRPr="00837D4E">
        <w:t xml:space="preserve">high-quality students and realize continued progress in </w:t>
      </w:r>
      <w:r w:rsidR="002C147B">
        <w:t>its</w:t>
      </w:r>
      <w:r w:rsidRPr="00837D4E">
        <w:t xml:space="preserve"> </w:t>
      </w:r>
      <w:r w:rsidR="000F509A">
        <w:t>scholarly, research and creative</w:t>
      </w:r>
      <w:r w:rsidRPr="00837D4E">
        <w:t xml:space="preserve"> endeavours.</w:t>
      </w:r>
    </w:p>
    <w:p w:rsidR="00403BC4" w:rsidRDefault="00837D4E" w:rsidP="00275558">
      <w:r w:rsidRPr="00837D4E">
        <w:t xml:space="preserve">Ryerson </w:t>
      </w:r>
      <w:r w:rsidR="00FC1274" w:rsidRPr="00837D4E">
        <w:t xml:space="preserve">has a compelling </w:t>
      </w:r>
      <w:r w:rsidR="00FC1274">
        <w:t xml:space="preserve">and unique </w:t>
      </w:r>
      <w:r w:rsidR="00FC1274" w:rsidRPr="00837D4E">
        <w:t xml:space="preserve">research and innovation story to share within the university and externally </w:t>
      </w:r>
      <w:r w:rsidR="00FC1274">
        <w:t xml:space="preserve">that speaks to its unique capabilities. This includes </w:t>
      </w:r>
      <w:r w:rsidRPr="00837D4E">
        <w:t xml:space="preserve">SRC </w:t>
      </w:r>
      <w:r w:rsidR="00FC1274">
        <w:t xml:space="preserve">activity targeted at tangible </w:t>
      </w:r>
      <w:r w:rsidRPr="00837D4E">
        <w:t>impacts on prosperity, culture and social development</w:t>
      </w:r>
      <w:r w:rsidR="00FC1274">
        <w:t xml:space="preserve"> through relationships with community and industry</w:t>
      </w:r>
      <w:r w:rsidRPr="00837D4E">
        <w:t>.</w:t>
      </w:r>
      <w:r w:rsidR="00FC1274">
        <w:t xml:space="preserve"> It includes a pronounced emphasis on creative activity.</w:t>
      </w:r>
      <w:r w:rsidRPr="00837D4E">
        <w:t xml:space="preserve"> Ryerson will celebrate and communicate its SRC strengths and achievements in order to attract additional research opportunities and talent, and build recognition of the link between significant SRC pursuits and Ryerson’s rising prominence as a distinguished institution.</w:t>
      </w:r>
    </w:p>
    <w:p w:rsidR="000B3482" w:rsidRDefault="000B3482" w:rsidP="00275558"/>
    <w:p w:rsidR="000B3482" w:rsidRDefault="000B3482" w:rsidP="00275558"/>
    <w:p w:rsidR="00403BC4" w:rsidRDefault="00403BC4" w:rsidP="00403BC4">
      <w:pPr>
        <w:pStyle w:val="PriorityTag"/>
      </w:pPr>
      <w:r w:rsidRPr="000F69C3">
        <w:lastRenderedPageBreak/>
        <w:t xml:space="preserve">PRIORITY </w:t>
      </w:r>
      <w:r>
        <w:t>THREE</w:t>
      </w:r>
    </w:p>
    <w:p w:rsidR="00403BC4" w:rsidRPr="003719BA" w:rsidRDefault="00403BC4" w:rsidP="00403BC4">
      <w:pPr>
        <w:pStyle w:val="Heading3"/>
        <w:spacing w:after="240"/>
        <w:rPr>
          <w:rFonts w:eastAsia="Times New Roman"/>
          <w:color w:val="000000"/>
          <w:lang w:eastAsia="en-CA"/>
        </w:rPr>
      </w:pPr>
      <w:bookmarkStart w:id="28" w:name="_Toc387410416"/>
      <w:bookmarkStart w:id="29" w:name="_Toc262221913"/>
      <w:r>
        <w:rPr>
          <w:lang w:eastAsia="en-CA"/>
        </w:rPr>
        <w:t>Foster an Innovation Ecosystem</w:t>
      </w:r>
      <w:bookmarkEnd w:id="28"/>
      <w:bookmarkEnd w:id="29"/>
    </w:p>
    <w:p w:rsidR="00403BC4" w:rsidRPr="00403BC4" w:rsidRDefault="00403BC4" w:rsidP="00403BC4">
      <w:pPr>
        <w:rPr>
          <w:bCs/>
        </w:rPr>
      </w:pPr>
      <w:r w:rsidRPr="00403BC4">
        <w:rPr>
          <w:bCs/>
        </w:rPr>
        <w:t>Ryerson’s vision is to be recognized as Canada’s leading comprehensive innovation university. Ryerson will foster a</w:t>
      </w:r>
      <w:r w:rsidR="003162E5">
        <w:rPr>
          <w:bCs/>
        </w:rPr>
        <w:t>n</w:t>
      </w:r>
      <w:r w:rsidR="00275558">
        <w:rPr>
          <w:bCs/>
        </w:rPr>
        <w:t xml:space="preserve"> </w:t>
      </w:r>
      <w:r w:rsidRPr="00403BC4">
        <w:t xml:space="preserve">environment </w:t>
      </w:r>
      <w:r w:rsidR="003162E5" w:rsidRPr="00403BC4">
        <w:t xml:space="preserve">conducive </w:t>
      </w:r>
      <w:r w:rsidR="003162E5">
        <w:t xml:space="preserve">to </w:t>
      </w:r>
      <w:r w:rsidRPr="00403BC4">
        <w:t>innovation</w:t>
      </w:r>
      <w:r w:rsidR="003162E5">
        <w:t>:</w:t>
      </w:r>
      <w:r w:rsidRPr="00403BC4">
        <w:t xml:space="preserve"> </w:t>
      </w:r>
      <w:r w:rsidR="003162E5">
        <w:t>where it</w:t>
      </w:r>
      <w:r w:rsidRPr="00403BC4">
        <w:t xml:space="preserve"> can flourish </w:t>
      </w:r>
      <w:r w:rsidR="000F509A">
        <w:t xml:space="preserve">on a larger scale </w:t>
      </w:r>
      <w:r w:rsidRPr="00403BC4">
        <w:t xml:space="preserve">across the university </w:t>
      </w:r>
      <w:r w:rsidR="000F509A">
        <w:t>while</w:t>
      </w:r>
      <w:r w:rsidRPr="00403BC4">
        <w:t xml:space="preserve"> </w:t>
      </w:r>
      <w:r w:rsidR="000F509A" w:rsidRPr="00403BC4">
        <w:t>involv</w:t>
      </w:r>
      <w:r w:rsidR="000F509A">
        <w:t>ing</w:t>
      </w:r>
      <w:r w:rsidR="000F509A" w:rsidRPr="00403BC4">
        <w:t xml:space="preserve"> </w:t>
      </w:r>
      <w:r w:rsidRPr="00403BC4">
        <w:t xml:space="preserve">more people and partners. </w:t>
      </w:r>
    </w:p>
    <w:p w:rsidR="00403BC4" w:rsidRPr="00403BC4" w:rsidRDefault="00403BC4" w:rsidP="00403BC4">
      <w:pPr>
        <w:rPr>
          <w:rFonts w:eastAsia="Times New Roman"/>
          <w:color w:val="000000"/>
          <w:lang w:eastAsia="en-CA"/>
        </w:rPr>
      </w:pPr>
      <w:r>
        <w:rPr>
          <w:rFonts w:eastAsia="Times New Roman"/>
          <w:color w:val="000000"/>
          <w:lang w:eastAsia="en-CA"/>
        </w:rPr>
        <w:t>Inspired by its mission</w:t>
      </w:r>
      <w:r w:rsidRPr="00403BC4">
        <w:rPr>
          <w:rFonts w:eastAsia="Times New Roman"/>
          <w:color w:val="000000"/>
          <w:lang w:eastAsia="en-CA"/>
        </w:rPr>
        <w:t xml:space="preserve">, </w:t>
      </w:r>
      <w:r>
        <w:rPr>
          <w:rFonts w:eastAsia="Times New Roman"/>
          <w:color w:val="000000"/>
          <w:lang w:eastAsia="en-CA"/>
        </w:rPr>
        <w:t>Ryerson defines innovation broadly – encouraging its</w:t>
      </w:r>
      <w:r w:rsidRPr="00403BC4">
        <w:rPr>
          <w:rFonts w:eastAsia="Times New Roman"/>
          <w:color w:val="000000"/>
          <w:lang w:eastAsia="en-CA"/>
        </w:rPr>
        <w:t xml:space="preserve"> academic community to challenge the status quo with new solutions and</w:t>
      </w:r>
      <w:r w:rsidR="00F10FF6">
        <w:rPr>
          <w:rFonts w:eastAsia="Times New Roman"/>
          <w:color w:val="000000"/>
          <w:lang w:eastAsia="en-CA"/>
        </w:rPr>
        <w:t xml:space="preserve"> to</w:t>
      </w:r>
      <w:r w:rsidRPr="00403BC4">
        <w:rPr>
          <w:rFonts w:eastAsia="Times New Roman"/>
          <w:color w:val="000000"/>
          <w:lang w:eastAsia="en-CA"/>
        </w:rPr>
        <w:t xml:space="preserve"> apply new ways of thinking </w:t>
      </w:r>
      <w:r>
        <w:rPr>
          <w:rFonts w:eastAsia="Times New Roman"/>
          <w:color w:val="000000"/>
          <w:lang w:eastAsia="en-CA"/>
        </w:rPr>
        <w:t>to transform the world</w:t>
      </w:r>
      <w:r w:rsidRPr="00403BC4">
        <w:rPr>
          <w:rFonts w:eastAsia="Times New Roman"/>
          <w:color w:val="000000"/>
          <w:lang w:eastAsia="en-CA"/>
        </w:rPr>
        <w:t xml:space="preserve">. </w:t>
      </w:r>
    </w:p>
    <w:p w:rsidR="00403BC4" w:rsidRDefault="00403BC4" w:rsidP="00403BC4">
      <w:pPr>
        <w:rPr>
          <w:rFonts w:eastAsia="Times New Roman"/>
          <w:color w:val="000000"/>
          <w:lang w:eastAsia="en-CA"/>
        </w:rPr>
      </w:pPr>
      <w:r w:rsidRPr="00403BC4">
        <w:t xml:space="preserve">Ryerson recognizes </w:t>
      </w:r>
      <w:r w:rsidR="003162E5">
        <w:t xml:space="preserve">that </w:t>
      </w:r>
      <w:r w:rsidRPr="00403BC4">
        <w:t>there are many kinds of innovators. Some people innovate for commercial reasons; others advocate new thinking and approaches designed to create positive social change</w:t>
      </w:r>
      <w:r w:rsidR="00CF0199">
        <w:t>; some do both</w:t>
      </w:r>
      <w:r w:rsidRPr="00403BC4">
        <w:t xml:space="preserve">. </w:t>
      </w:r>
      <w:r w:rsidRPr="00403BC4">
        <w:rPr>
          <w:rFonts w:eastAsia="Times New Roman"/>
          <w:color w:val="000000"/>
          <w:lang w:eastAsia="en-CA"/>
        </w:rPr>
        <w:t>The definition above encompasses creative, cultural and social innovations that can enrich the fabric of society and improve quality of life, as well as innovations that create new companies, products and jobs, produce novel social and civic ventures, and drive change in existing organizations.</w:t>
      </w:r>
    </w:p>
    <w:p w:rsidR="00403BC4" w:rsidRPr="00403BC4" w:rsidRDefault="00403BC4" w:rsidP="00403BC4">
      <w:r w:rsidRPr="00403BC4">
        <w:rPr>
          <w:rFonts w:eastAsia="Times New Roman"/>
          <w:color w:val="000000"/>
          <w:lang w:eastAsia="en-CA"/>
        </w:rPr>
        <w:t xml:space="preserve">Ryerson will nurture an environment that </w:t>
      </w:r>
      <w:r w:rsidR="00402636" w:rsidRPr="00403BC4">
        <w:rPr>
          <w:rFonts w:eastAsia="Times New Roman"/>
          <w:color w:val="000000"/>
          <w:lang w:eastAsia="en-CA"/>
        </w:rPr>
        <w:t>instils</w:t>
      </w:r>
      <w:r w:rsidRPr="00403BC4">
        <w:rPr>
          <w:rFonts w:eastAsia="Times New Roman"/>
          <w:color w:val="000000"/>
          <w:lang w:eastAsia="en-CA"/>
        </w:rPr>
        <w:t xml:space="preserve"> creative and entrepreneurial thinking across disciplines, </w:t>
      </w:r>
      <w:r w:rsidRPr="00403BC4">
        <w:t>and supports more students</w:t>
      </w:r>
      <w:r w:rsidR="001D38D3">
        <w:t xml:space="preserve">, </w:t>
      </w:r>
      <w:r w:rsidRPr="00403BC4">
        <w:t xml:space="preserve">faculty </w:t>
      </w:r>
      <w:r w:rsidR="001D38D3">
        <w:t>and staff</w:t>
      </w:r>
      <w:r w:rsidR="001D38D3" w:rsidRPr="00403BC4">
        <w:t xml:space="preserve"> </w:t>
      </w:r>
      <w:r w:rsidRPr="00403BC4">
        <w:t xml:space="preserve">to become innovators who can </w:t>
      </w:r>
      <w:r w:rsidR="00CF5AA5">
        <w:t>make a positive difference</w:t>
      </w:r>
      <w:r w:rsidR="00D84118">
        <w:t>.</w:t>
      </w:r>
      <w:r w:rsidRPr="00403BC4">
        <w:t xml:space="preserve"> It will strive to stimulate innovation through the education, research and learning opportunities offered to students; through strengthened interdisciplinary connections; through increased </w:t>
      </w:r>
      <w:r w:rsidR="00CF0199">
        <w:t>partnerships with like-minded organizations</w:t>
      </w:r>
      <w:r w:rsidRPr="00403BC4">
        <w:t>; and through the university’s strong commitment to continue building a robust SRC culture.</w:t>
      </w:r>
    </w:p>
    <w:p w:rsidR="000B3482" w:rsidRDefault="00403BC4" w:rsidP="00403BC4">
      <w:pPr>
        <w:rPr>
          <w:rFonts w:eastAsia="Times New Roman"/>
          <w:color w:val="000000"/>
          <w:lang w:eastAsia="en-CA"/>
        </w:rPr>
      </w:pPr>
      <w:r w:rsidRPr="00403BC4">
        <w:rPr>
          <w:rFonts w:eastAsia="Times New Roman"/>
          <w:color w:val="000000"/>
          <w:lang w:eastAsia="en-CA"/>
        </w:rPr>
        <w:t>Ryerson trusts students to learn</w:t>
      </w:r>
      <w:r w:rsidR="00CF5AA5">
        <w:rPr>
          <w:rFonts w:eastAsia="Times New Roman"/>
          <w:color w:val="000000"/>
          <w:lang w:eastAsia="en-CA"/>
        </w:rPr>
        <w:t>,</w:t>
      </w:r>
      <w:r w:rsidRPr="00403BC4">
        <w:rPr>
          <w:rFonts w:eastAsia="Times New Roman"/>
          <w:color w:val="000000"/>
          <w:lang w:eastAsia="en-CA"/>
        </w:rPr>
        <w:t xml:space="preserve"> and is adding a </w:t>
      </w:r>
      <w:r w:rsidR="00CF5AA5">
        <w:rPr>
          <w:rFonts w:eastAsia="Times New Roman"/>
          <w:color w:val="000000"/>
          <w:lang w:eastAsia="en-CA"/>
        </w:rPr>
        <w:t>self</w:t>
      </w:r>
      <w:r w:rsidR="00C01923">
        <w:rPr>
          <w:rFonts w:eastAsia="Times New Roman"/>
          <w:color w:val="000000"/>
          <w:lang w:eastAsia="en-CA"/>
        </w:rPr>
        <w:t xml:space="preserve">-motivated </w:t>
      </w:r>
      <w:r w:rsidRPr="00403BC4">
        <w:rPr>
          <w:rFonts w:eastAsia="Times New Roman"/>
          <w:color w:val="000000"/>
          <w:lang w:eastAsia="en-CA"/>
        </w:rPr>
        <w:t xml:space="preserve">entrepreneurial dimension to post-secondary education through zone learning. </w:t>
      </w:r>
      <w:r w:rsidRPr="00403BC4">
        <w:t xml:space="preserve">Ryerson has already expanded </w:t>
      </w:r>
      <w:r>
        <w:t xml:space="preserve">its multidisciplinary </w:t>
      </w:r>
      <w:r w:rsidRPr="00403BC4">
        <w:t>zone learning</w:t>
      </w:r>
      <w:r>
        <w:t xml:space="preserve"> to </w:t>
      </w:r>
      <w:r w:rsidRPr="00403BC4">
        <w:t>includ</w:t>
      </w:r>
      <w:r>
        <w:t>e</w:t>
      </w:r>
      <w:r w:rsidRPr="00403BC4">
        <w:t xml:space="preserve"> </w:t>
      </w:r>
      <w:r>
        <w:t xml:space="preserve">urban energy, </w:t>
      </w:r>
      <w:r w:rsidRPr="00403BC4">
        <w:rPr>
          <w:rFonts w:eastAsia="Times New Roman"/>
          <w:color w:val="000000"/>
          <w:lang w:eastAsia="en-CA"/>
        </w:rPr>
        <w:t>fashion, design fabrication and transmedia</w:t>
      </w:r>
      <w:r w:rsidR="006421D1">
        <w:rPr>
          <w:rFonts w:eastAsia="Times New Roman"/>
          <w:color w:val="000000"/>
          <w:lang w:eastAsia="en-CA"/>
        </w:rPr>
        <w:t xml:space="preserve">, and will look for </w:t>
      </w:r>
      <w:r w:rsidR="00554C13">
        <w:rPr>
          <w:rFonts w:eastAsia="Times New Roman"/>
          <w:color w:val="000000"/>
          <w:lang w:eastAsia="en-CA"/>
        </w:rPr>
        <w:t xml:space="preserve">more </w:t>
      </w:r>
      <w:r w:rsidRPr="00403BC4">
        <w:rPr>
          <w:rFonts w:eastAsia="Times New Roman"/>
          <w:color w:val="000000"/>
          <w:lang w:eastAsia="en-CA"/>
        </w:rPr>
        <w:t>opportunities to</w:t>
      </w:r>
      <w:r w:rsidR="00554C13">
        <w:rPr>
          <w:rFonts w:eastAsia="Times New Roman"/>
          <w:color w:val="000000"/>
          <w:lang w:eastAsia="en-CA"/>
        </w:rPr>
        <w:t xml:space="preserve"> engage students</w:t>
      </w:r>
      <w:r w:rsidRPr="00403BC4">
        <w:rPr>
          <w:rFonts w:eastAsia="Times New Roman"/>
          <w:color w:val="000000"/>
          <w:lang w:eastAsia="en-CA"/>
        </w:rPr>
        <w:t xml:space="preserve"> </w:t>
      </w:r>
      <w:r w:rsidR="00554C13">
        <w:rPr>
          <w:rFonts w:eastAsia="Times New Roman"/>
          <w:color w:val="000000"/>
          <w:lang w:eastAsia="en-CA"/>
        </w:rPr>
        <w:t xml:space="preserve">in </w:t>
      </w:r>
      <w:r w:rsidRPr="00403BC4">
        <w:rPr>
          <w:rFonts w:eastAsia="Times New Roman"/>
          <w:color w:val="000000"/>
          <w:lang w:eastAsia="en-CA"/>
        </w:rPr>
        <w:t>pursu</w:t>
      </w:r>
      <w:r w:rsidR="00554C13">
        <w:rPr>
          <w:rFonts w:eastAsia="Times New Roman"/>
          <w:color w:val="000000"/>
          <w:lang w:eastAsia="en-CA"/>
        </w:rPr>
        <w:t>ing</w:t>
      </w:r>
      <w:r w:rsidRPr="00403BC4">
        <w:rPr>
          <w:rFonts w:eastAsia="Times New Roman"/>
          <w:color w:val="000000"/>
          <w:lang w:eastAsia="en-CA"/>
        </w:rPr>
        <w:t xml:space="preserve"> entrepreneurial pathways for their ideas in close collaboration</w:t>
      </w:r>
      <w:r w:rsidR="009F6B24">
        <w:rPr>
          <w:rFonts w:eastAsia="Times New Roman"/>
          <w:color w:val="000000"/>
          <w:lang w:eastAsia="en-CA"/>
        </w:rPr>
        <w:t xml:space="preserve"> with</w:t>
      </w:r>
      <w:r w:rsidRPr="00403BC4">
        <w:rPr>
          <w:rFonts w:eastAsia="Times New Roman"/>
          <w:color w:val="000000"/>
          <w:lang w:eastAsia="en-CA"/>
        </w:rPr>
        <w:t xml:space="preserve"> their peers, faculty mentors, </w:t>
      </w:r>
      <w:r w:rsidR="000F509A">
        <w:rPr>
          <w:rFonts w:eastAsia="Times New Roman"/>
          <w:color w:val="000000"/>
          <w:lang w:eastAsia="en-CA"/>
        </w:rPr>
        <w:t xml:space="preserve">and </w:t>
      </w:r>
      <w:r w:rsidRPr="00403BC4">
        <w:rPr>
          <w:rFonts w:eastAsia="Times New Roman"/>
          <w:color w:val="000000"/>
          <w:lang w:eastAsia="en-CA"/>
        </w:rPr>
        <w:t xml:space="preserve">industry and community partners. Ryerson will also look for opportunities to expand zones on campus, regionally and in select locations outside Canada. </w:t>
      </w:r>
    </w:p>
    <w:p w:rsidR="00403BC4" w:rsidRDefault="00403BC4" w:rsidP="00403BC4">
      <w:r w:rsidRPr="00403BC4">
        <w:t xml:space="preserve">By fostering a stimulating environment, Ryerson will become a leading institution for innovation whose students, graduates and faculty have a positive and meaningful impact on the social, </w:t>
      </w:r>
      <w:r w:rsidR="00C437D8">
        <w:t xml:space="preserve">environmental </w:t>
      </w:r>
      <w:r w:rsidRPr="00403BC4">
        <w:t>and economic vitality of Toronto</w:t>
      </w:r>
      <w:r w:rsidR="000F509A">
        <w:t xml:space="preserve">, </w:t>
      </w:r>
      <w:r w:rsidR="00C13EAC">
        <w:t xml:space="preserve">Ontario </w:t>
      </w:r>
      <w:r w:rsidRPr="00403BC4">
        <w:t>and beyond.</w:t>
      </w:r>
    </w:p>
    <w:p w:rsidR="00E51985" w:rsidRDefault="00E51985" w:rsidP="00E51985"/>
    <w:p w:rsidR="006421D1" w:rsidRDefault="006421D1" w:rsidP="006421D1">
      <w:pPr>
        <w:pStyle w:val="PriorityTag"/>
      </w:pPr>
      <w:r w:rsidRPr="000F69C3">
        <w:lastRenderedPageBreak/>
        <w:t xml:space="preserve">PRIORITY </w:t>
      </w:r>
      <w:r>
        <w:t>FOUR</w:t>
      </w:r>
    </w:p>
    <w:p w:rsidR="006421D1" w:rsidRPr="003719BA" w:rsidRDefault="006421D1" w:rsidP="006421D1">
      <w:pPr>
        <w:pStyle w:val="Heading3"/>
        <w:spacing w:after="240"/>
        <w:rPr>
          <w:rFonts w:eastAsia="Times New Roman"/>
          <w:color w:val="000000"/>
          <w:lang w:eastAsia="en-CA"/>
        </w:rPr>
      </w:pPr>
      <w:bookmarkStart w:id="30" w:name="_Toc387410417"/>
      <w:bookmarkStart w:id="31" w:name="_Toc262221914"/>
      <w:r>
        <w:rPr>
          <w:lang w:eastAsia="en-CA"/>
        </w:rPr>
        <w:t>Expand Community Engagement and City Building</w:t>
      </w:r>
      <w:bookmarkEnd w:id="30"/>
      <w:bookmarkEnd w:id="31"/>
    </w:p>
    <w:p w:rsidR="006421D1" w:rsidRPr="006421D1" w:rsidRDefault="00E15C2E" w:rsidP="006421D1">
      <w:r>
        <w:t xml:space="preserve">Community engagement </w:t>
      </w:r>
      <w:r w:rsidR="006421D1" w:rsidRPr="006421D1">
        <w:t>is a hallmark of Ryerson’s approach</w:t>
      </w:r>
      <w:r w:rsidR="00547F3E">
        <w:t xml:space="preserve"> to its programs, experiential learning and SRC activities</w:t>
      </w:r>
      <w:r w:rsidR="00EF7E9A">
        <w:t>. It</w:t>
      </w:r>
      <w:r w:rsidRPr="006421D1">
        <w:t xml:space="preserve"> </w:t>
      </w:r>
      <w:r w:rsidR="00EF7E9A">
        <w:t>allows</w:t>
      </w:r>
      <w:r w:rsidR="00EF7E9A" w:rsidRPr="006421D1">
        <w:t xml:space="preserve"> </w:t>
      </w:r>
      <w:r w:rsidR="006421D1" w:rsidRPr="006421D1">
        <w:t xml:space="preserve">Ryerson </w:t>
      </w:r>
      <w:r>
        <w:t>to</w:t>
      </w:r>
      <w:r w:rsidRPr="006421D1">
        <w:t xml:space="preserve"> </w:t>
      </w:r>
      <w:r w:rsidR="006421D1" w:rsidRPr="006421D1">
        <w:t>work with and benefit those around it</w:t>
      </w:r>
      <w:r>
        <w:t xml:space="preserve">, </w:t>
      </w:r>
      <w:r w:rsidR="00EF7E9A" w:rsidRPr="006421D1">
        <w:t>open</w:t>
      </w:r>
      <w:r w:rsidR="00EF7E9A">
        <w:t>s</w:t>
      </w:r>
      <w:r w:rsidR="00EF7E9A" w:rsidRPr="006421D1">
        <w:t xml:space="preserve"> </w:t>
      </w:r>
      <w:r w:rsidR="006421D1" w:rsidRPr="006421D1">
        <w:t>avenues for creating positive change in the community</w:t>
      </w:r>
      <w:r w:rsidR="00DF01BE">
        <w:t>,</w:t>
      </w:r>
      <w:r w:rsidR="006421D1" w:rsidRPr="006421D1">
        <w:t xml:space="preserve"> and </w:t>
      </w:r>
      <w:r w:rsidR="00EF7E9A" w:rsidRPr="006421D1">
        <w:t>contribut</w:t>
      </w:r>
      <w:r w:rsidR="00EF7E9A">
        <w:t>es</w:t>
      </w:r>
      <w:r w:rsidR="00EF7E9A" w:rsidRPr="006421D1">
        <w:t xml:space="preserve"> </w:t>
      </w:r>
      <w:r w:rsidR="006421D1" w:rsidRPr="006421D1">
        <w:t>to Ryerson’s reputation as a city-building university.</w:t>
      </w:r>
      <w:r w:rsidR="00EF7E9A">
        <w:t xml:space="preserve"> It also underpins the university’s internal culture</w:t>
      </w:r>
      <w:r w:rsidR="00312DCE">
        <w:t>.</w:t>
      </w:r>
      <w:r w:rsidR="00EF7E9A">
        <w:t xml:space="preserve"> Ryerson’s diverse community is its most important asset and new ways to foster</w:t>
      </w:r>
      <w:r w:rsidR="00312DCE">
        <w:t xml:space="preserve"> collaboration, inclusion and positive interactions across the university will be pursued.</w:t>
      </w:r>
      <w:r w:rsidR="006421D1" w:rsidRPr="006421D1">
        <w:t xml:space="preserve"> </w:t>
      </w:r>
    </w:p>
    <w:p w:rsidR="002C5048" w:rsidRDefault="006421D1" w:rsidP="00547F3E">
      <w:r w:rsidRPr="006421D1">
        <w:t>This priority focuses on strengthening engagement in ways that move the university and the city forward together. It will expand connections to community</w:t>
      </w:r>
      <w:r w:rsidR="002E71DB">
        <w:t>, government,</w:t>
      </w:r>
      <w:r w:rsidRPr="006421D1">
        <w:t xml:space="preserve"> and industry organizations </w:t>
      </w:r>
      <w:r w:rsidR="00547F3E">
        <w:t xml:space="preserve">to create </w:t>
      </w:r>
      <w:r w:rsidR="004D7B88">
        <w:t>greater</w:t>
      </w:r>
      <w:r w:rsidR="00547F3E">
        <w:t xml:space="preserve"> opportunities for academic and SRC interaction and collaboration, student engagement and</w:t>
      </w:r>
      <w:r w:rsidRPr="006421D1">
        <w:t xml:space="preserve"> international reach and influence</w:t>
      </w:r>
      <w:r w:rsidR="00547F3E">
        <w:t xml:space="preserve">. </w:t>
      </w:r>
      <w:r w:rsidR="00B34D0E">
        <w:t>Ryerson</w:t>
      </w:r>
      <w:r w:rsidR="00547F3E">
        <w:t xml:space="preserve"> will</w:t>
      </w:r>
      <w:r w:rsidRPr="006421D1">
        <w:t xml:space="preserve"> </w:t>
      </w:r>
      <w:r w:rsidR="00DF01BE">
        <w:t xml:space="preserve">be a leader </w:t>
      </w:r>
      <w:r w:rsidRPr="006421D1">
        <w:t xml:space="preserve">in </w:t>
      </w:r>
      <w:r>
        <w:t>the</w:t>
      </w:r>
      <w:r w:rsidRPr="006421D1">
        <w:t xml:space="preserve"> university sector </w:t>
      </w:r>
      <w:r w:rsidR="00DF01BE">
        <w:t>with</w:t>
      </w:r>
      <w:r w:rsidR="00DF01BE" w:rsidRPr="006421D1">
        <w:t xml:space="preserve"> </w:t>
      </w:r>
      <w:r w:rsidRPr="006421D1">
        <w:t xml:space="preserve">city-building efforts that have a positive </w:t>
      </w:r>
      <w:r w:rsidR="00BC4152">
        <w:t>local and regional</w:t>
      </w:r>
      <w:r w:rsidRPr="006421D1">
        <w:t xml:space="preserve"> impact. </w:t>
      </w:r>
    </w:p>
    <w:p w:rsidR="006421D1" w:rsidRPr="006421D1" w:rsidRDefault="00312DCE" w:rsidP="006421D1">
      <w:r>
        <w:t>Community engagement also impacts upon philanthropy. A</w:t>
      </w:r>
      <w:r w:rsidRPr="006421D1">
        <w:t xml:space="preserve"> strong sense of community and shared belonging among students, faculty, staff, alumni</w:t>
      </w:r>
      <w:r>
        <w:t xml:space="preserve"> </w:t>
      </w:r>
      <w:r w:rsidRPr="006421D1">
        <w:t xml:space="preserve">and the broader public is </w:t>
      </w:r>
      <w:proofErr w:type="gramStart"/>
      <w:r w:rsidRPr="006421D1">
        <w:t>key</w:t>
      </w:r>
      <w:proofErr w:type="gramEnd"/>
      <w:r w:rsidRPr="006421D1">
        <w:t xml:space="preserve"> in the impetus to give</w:t>
      </w:r>
      <w:r>
        <w:t xml:space="preserve"> back</w:t>
      </w:r>
      <w:r w:rsidRPr="006421D1">
        <w:t xml:space="preserve">. </w:t>
      </w:r>
      <w:r w:rsidR="00AE67BE" w:rsidRPr="006421D1">
        <w:t xml:space="preserve">Through </w:t>
      </w:r>
      <w:r w:rsidR="00AE67BE">
        <w:t xml:space="preserve">collaborative </w:t>
      </w:r>
      <w:r w:rsidR="00AE67BE" w:rsidRPr="006421D1">
        <w:t>efforts</w:t>
      </w:r>
      <w:r>
        <w:t>,</w:t>
      </w:r>
      <w:r w:rsidR="00AE67BE" w:rsidRPr="006421D1">
        <w:t xml:space="preserve"> Ryerson will endeavour to build a strong</w:t>
      </w:r>
      <w:r>
        <w:t>er</w:t>
      </w:r>
      <w:r w:rsidR="00AE67BE" w:rsidRPr="006421D1">
        <w:t xml:space="preserve"> culture of philanthropy to </w:t>
      </w:r>
      <w:r>
        <w:t>help realize</w:t>
      </w:r>
      <w:r w:rsidRPr="006421D1">
        <w:t xml:space="preserve"> </w:t>
      </w:r>
      <w:r w:rsidR="00AE67BE" w:rsidRPr="006421D1">
        <w:t xml:space="preserve">the </w:t>
      </w:r>
      <w:r>
        <w:t>vision</w:t>
      </w:r>
      <w:r w:rsidRPr="006421D1">
        <w:t xml:space="preserve"> </w:t>
      </w:r>
      <w:r w:rsidR="00AE67BE" w:rsidRPr="006421D1">
        <w:t xml:space="preserve">of the academic plan. </w:t>
      </w:r>
      <w:r w:rsidR="006421D1" w:rsidRPr="006421D1">
        <w:t xml:space="preserve">The university community will reach out to alumni, individuals and </w:t>
      </w:r>
      <w:r>
        <w:t xml:space="preserve">external </w:t>
      </w:r>
      <w:r w:rsidR="006421D1" w:rsidRPr="006421D1">
        <w:t>organizations with meaningful opportunities for involvement that can contribute to building a common sense of purpose and commitment to the university’s future.</w:t>
      </w:r>
    </w:p>
    <w:p w:rsidR="006421D1" w:rsidRPr="006421D1" w:rsidRDefault="006421D1" w:rsidP="006421D1">
      <w:r w:rsidRPr="006421D1">
        <w:t xml:space="preserve">Ryerson has many opportunities to augment both the level of local engagement and its </w:t>
      </w:r>
      <w:r w:rsidR="00312DCE">
        <w:t>influence</w:t>
      </w:r>
      <w:r w:rsidR="00312DCE" w:rsidRPr="006421D1">
        <w:t xml:space="preserve"> </w:t>
      </w:r>
      <w:r w:rsidRPr="006421D1">
        <w:t xml:space="preserve">as a city builder. Expanding </w:t>
      </w:r>
      <w:r w:rsidR="00B34D0E">
        <w:t>external e</w:t>
      </w:r>
      <w:r w:rsidRPr="006421D1">
        <w:t xml:space="preserve">ngagement will bring new opportunities to the university, increase the reciprocal benefits in the community, and strengthen connections with </w:t>
      </w:r>
      <w:r w:rsidR="00B34D0E">
        <w:t>distinct</w:t>
      </w:r>
      <w:r w:rsidRPr="006421D1">
        <w:t xml:space="preserve"> </w:t>
      </w:r>
      <w:r w:rsidR="00B34D0E">
        <w:t>groups</w:t>
      </w:r>
      <w:r w:rsidRPr="006421D1">
        <w:t>, such as Aboriginal communities</w:t>
      </w:r>
      <w:r w:rsidR="00A4394B">
        <w:t xml:space="preserve">. </w:t>
      </w:r>
      <w:r w:rsidRPr="006421D1">
        <w:rPr>
          <w:rFonts w:eastAsia="Times New Roman"/>
          <w:lang w:eastAsia="en-CA"/>
        </w:rPr>
        <w:t xml:space="preserve">Ryerson </w:t>
      </w:r>
      <w:r w:rsidR="001D38D3">
        <w:rPr>
          <w:rFonts w:eastAsia="Times New Roman"/>
          <w:lang w:eastAsia="en-CA"/>
        </w:rPr>
        <w:t>is revitalizing</w:t>
      </w:r>
      <w:r w:rsidRPr="006421D1">
        <w:rPr>
          <w:rFonts w:eastAsia="Times New Roman"/>
          <w:lang w:eastAsia="en-CA"/>
        </w:rPr>
        <w:t xml:space="preserve"> its campus and surrounding neighbourhood and is recognized as a leading institution that takes pride and ownership in its city’s advancement. </w:t>
      </w:r>
      <w:r w:rsidRPr="006421D1">
        <w:t>While continuing to realize the vision of its Master Plan, Ryerson is explicitly expanding</w:t>
      </w:r>
      <w:r w:rsidR="00402636">
        <w:t xml:space="preserve"> the notion of city building to include</w:t>
      </w:r>
      <w:r w:rsidRPr="006421D1">
        <w:t xml:space="preserve"> </w:t>
      </w:r>
      <w:r w:rsidR="000E5FFF">
        <w:t xml:space="preserve">its community of </w:t>
      </w:r>
      <w:r w:rsidRPr="006421D1">
        <w:t xml:space="preserve">scholars, innovators, and creative practitioners who participate in civic issues and contribute their intellectual capital to the </w:t>
      </w:r>
      <w:r w:rsidRPr="006421D1">
        <w:rPr>
          <w:rFonts w:eastAsia="Times New Roman"/>
          <w:lang w:eastAsia="en-CA"/>
        </w:rPr>
        <w:t>cultural and social well-being, and economic vitality</w:t>
      </w:r>
      <w:r w:rsidRPr="006421D1">
        <w:t xml:space="preserve"> of the city, province and country. </w:t>
      </w:r>
    </w:p>
    <w:p w:rsidR="006421D1" w:rsidRPr="006421D1" w:rsidRDefault="006421D1" w:rsidP="006421D1">
      <w:pPr>
        <w:rPr>
          <w:rFonts w:eastAsia="Times New Roman"/>
          <w:lang w:eastAsia="en-CA"/>
        </w:rPr>
      </w:pPr>
      <w:r w:rsidRPr="006421D1">
        <w:t>While the mutual benefits of local engagement are many, Ryerson is also aware of its responsibilities as a global citizen. Ryerson has a highly diverse community of students, faculty, staff and alumni with meaningful connections to c</w:t>
      </w:r>
      <w:r w:rsidR="00492387">
        <w:t>oun</w:t>
      </w:r>
      <w:r w:rsidRPr="006421D1">
        <w:t>t</w:t>
      </w:r>
      <w:r w:rsidR="00492387">
        <w:t>r</w:t>
      </w:r>
      <w:r w:rsidRPr="006421D1">
        <w:t xml:space="preserve">ies around the world. Combining the strength of its diversity with its strong history of external engagement, </w:t>
      </w:r>
      <w:r w:rsidRPr="006421D1">
        <w:lastRenderedPageBreak/>
        <w:t>Ryerson can establish greater international reach and influence by partnering with like-minded organizations</w:t>
      </w:r>
      <w:r w:rsidR="004D7B88">
        <w:t xml:space="preserve"> and establishing joint programs with international institutions</w:t>
      </w:r>
      <w:r w:rsidRPr="006421D1">
        <w:t>. Increasing global connections will expand Ryerson’s international focus, create new opportunities for students and faculty</w:t>
      </w:r>
      <w:r w:rsidR="00A4394B">
        <w:t>,</w:t>
      </w:r>
      <w:r w:rsidRPr="006421D1">
        <w:t xml:space="preserve"> and allow Ryerson </w:t>
      </w:r>
      <w:r w:rsidR="004D7B88">
        <w:t>to</w:t>
      </w:r>
      <w:r w:rsidRPr="006421D1">
        <w:t xml:space="preserve"> </w:t>
      </w:r>
      <w:r w:rsidRPr="006421D1">
        <w:rPr>
          <w:rFonts w:eastAsia="Times New Roman"/>
          <w:lang w:eastAsia="en-CA"/>
        </w:rPr>
        <w:t xml:space="preserve">bring new talent to </w:t>
      </w:r>
      <w:r w:rsidR="004D7B88">
        <w:rPr>
          <w:rFonts w:eastAsia="Times New Roman"/>
          <w:lang w:eastAsia="en-CA"/>
        </w:rPr>
        <w:t xml:space="preserve">its programs and </w:t>
      </w:r>
      <w:r w:rsidRPr="006421D1">
        <w:rPr>
          <w:rFonts w:eastAsia="Times New Roman"/>
          <w:lang w:eastAsia="en-CA"/>
        </w:rPr>
        <w:t xml:space="preserve">the </w:t>
      </w:r>
      <w:r w:rsidR="00DF01BE">
        <w:rPr>
          <w:rFonts w:eastAsia="Times New Roman"/>
          <w:lang w:eastAsia="en-CA"/>
        </w:rPr>
        <w:t>GTA</w:t>
      </w:r>
      <w:r w:rsidRPr="006421D1">
        <w:rPr>
          <w:rFonts w:eastAsia="Times New Roman"/>
          <w:lang w:eastAsia="en-CA"/>
        </w:rPr>
        <w:t xml:space="preserve">. </w:t>
      </w:r>
    </w:p>
    <w:p w:rsidR="006421D1" w:rsidRPr="006421D1" w:rsidRDefault="006421D1" w:rsidP="006421D1"/>
    <w:p w:rsidR="006421D1" w:rsidRDefault="006421D1" w:rsidP="000F69C3">
      <w:pPr>
        <w:sectPr w:rsidR="006421D1" w:rsidSect="004B2B81">
          <w:pgSz w:w="12240" w:h="15840"/>
          <w:pgMar w:top="1440" w:right="1440" w:bottom="993" w:left="1440" w:header="720" w:footer="854" w:gutter="0"/>
          <w:cols w:space="720"/>
          <w:docGrid w:linePitch="360"/>
        </w:sectPr>
      </w:pPr>
    </w:p>
    <w:p w:rsidR="000F69C3" w:rsidRPr="000F69C3" w:rsidRDefault="00562CA9" w:rsidP="00562CA9">
      <w:pPr>
        <w:pStyle w:val="Heading1"/>
      </w:pPr>
      <w:bookmarkStart w:id="32" w:name="_Toc262221915"/>
      <w:r>
        <w:lastRenderedPageBreak/>
        <w:t>Strategies</w:t>
      </w:r>
      <w:bookmarkEnd w:id="32"/>
    </w:p>
    <w:p w:rsidR="00B118C9" w:rsidRDefault="00AA0907" w:rsidP="00B118C9">
      <w:r>
        <w:t>T</w:t>
      </w:r>
      <w:r w:rsidR="00B118C9">
        <w:t xml:space="preserve">he following strategies provide </w:t>
      </w:r>
      <w:r w:rsidR="004D7B88">
        <w:t xml:space="preserve">a framework </w:t>
      </w:r>
      <w:r>
        <w:t>to pursue the plan’s four priorities. They</w:t>
      </w:r>
      <w:r w:rsidR="00B118C9">
        <w:t xml:space="preserve"> are deliberately expressed at a macro level to give ample opportunity for the university’s </w:t>
      </w:r>
      <w:r>
        <w:t xml:space="preserve">faculties, </w:t>
      </w:r>
      <w:r w:rsidR="00B118C9">
        <w:t>schools, departments and other units to interpret and activate the strategies locally. Implementing individual strategies can achieve more than one priority</w:t>
      </w:r>
      <w:r w:rsidR="007240EA">
        <w:t>; a matrix is provided, starting on page 29, t</w:t>
      </w:r>
      <w:r w:rsidR="00A4394B">
        <w:t xml:space="preserve">o illustrate this. </w:t>
      </w:r>
    </w:p>
    <w:p w:rsidR="000F69C3" w:rsidRDefault="00B118C9" w:rsidP="00B118C9">
      <w:r>
        <w:t xml:space="preserve">At both the local and macro levels, it is assumed that the strategies </w:t>
      </w:r>
      <w:r w:rsidR="00705332">
        <w:t>will</w:t>
      </w:r>
      <w:r>
        <w:t xml:space="preserve"> be pursued by linking academic goals and priorities to resource allocations that are fiscally sustainable and aligned to the university’s priorities. </w:t>
      </w:r>
      <w:r w:rsidR="00DA4E0A">
        <w:t>O</w:t>
      </w:r>
      <w:r>
        <w:t xml:space="preserve">ver the five-year life of the plan </w:t>
      </w:r>
      <w:r w:rsidR="006D5D3C">
        <w:t>there</w:t>
      </w:r>
      <w:r w:rsidR="00977E64">
        <w:t xml:space="preserve"> will </w:t>
      </w:r>
      <w:r w:rsidR="006D5D3C">
        <w:t>be</w:t>
      </w:r>
      <w:r w:rsidR="00977E64">
        <w:t xml:space="preserve"> opportunities </w:t>
      </w:r>
      <w:r>
        <w:t>to modify direction</w:t>
      </w:r>
      <w:r w:rsidR="00DA6987">
        <w:t>s</w:t>
      </w:r>
      <w:r>
        <w:t xml:space="preserve"> and expectations</w:t>
      </w:r>
      <w:r w:rsidR="00AC556C">
        <w:t>. T</w:t>
      </w:r>
      <w:r w:rsidR="00DA4E0A">
        <w:t>he capacity to pursue these strategies will depend on available budgets</w:t>
      </w:r>
      <w:r>
        <w:t>.</w:t>
      </w:r>
    </w:p>
    <w:p w:rsidR="00B118C9" w:rsidRDefault="00B118C9" w:rsidP="00B118C9">
      <w:pPr>
        <w:pStyle w:val="PriorityTag"/>
        <w:rPr>
          <w:lang w:eastAsia="en-CA"/>
        </w:rPr>
      </w:pPr>
      <w:r>
        <w:rPr>
          <w:lang w:eastAsia="en-CA"/>
        </w:rPr>
        <w:t>WORKING TOGETHER</w:t>
      </w:r>
    </w:p>
    <w:p w:rsidR="00053C9F" w:rsidRDefault="00B118C9" w:rsidP="00053C9F">
      <w:pPr>
        <w:rPr>
          <w:rFonts w:eastAsia="Arial"/>
          <w:lang w:eastAsia="en-CA"/>
        </w:rPr>
      </w:pPr>
      <w:bookmarkStart w:id="33" w:name="_Toc387410419"/>
      <w:r w:rsidRPr="00B118C9">
        <w:rPr>
          <w:rStyle w:val="Heading2Char"/>
        </w:rPr>
        <w:t xml:space="preserve">Ryerson’s talented faculty and staff will continue to work together to achieve the </w:t>
      </w:r>
      <w:r w:rsidR="006D5D3C">
        <w:rPr>
          <w:rStyle w:val="Heading2Char"/>
        </w:rPr>
        <w:t>priorities</w:t>
      </w:r>
      <w:r w:rsidRPr="00B118C9">
        <w:rPr>
          <w:rStyle w:val="Heading2Char"/>
        </w:rPr>
        <w:t xml:space="preserve"> of the academic plan and the university.</w:t>
      </w:r>
      <w:bookmarkEnd w:id="33"/>
      <w:r>
        <w:rPr>
          <w:lang w:eastAsia="en-CA"/>
        </w:rPr>
        <w:t xml:space="preserve"> </w:t>
      </w:r>
      <w:r w:rsidRPr="002E370F">
        <w:rPr>
          <w:lang w:eastAsia="en-CA"/>
        </w:rPr>
        <w:t>All academic and functional units across the university play important roles in moving the university forward</w:t>
      </w:r>
      <w:r w:rsidR="006D5D3C">
        <w:rPr>
          <w:lang w:eastAsia="en-CA"/>
        </w:rPr>
        <w:t>.</w:t>
      </w:r>
      <w:r w:rsidRPr="002E370F">
        <w:rPr>
          <w:lang w:eastAsia="en-CA"/>
        </w:rPr>
        <w:t xml:space="preserve"> </w:t>
      </w:r>
      <w:r w:rsidR="00DA6987">
        <w:rPr>
          <w:lang w:eastAsia="en-CA"/>
        </w:rPr>
        <w:t xml:space="preserve">Diverse </w:t>
      </w:r>
      <w:r w:rsidR="00FA346B">
        <w:rPr>
          <w:lang w:eastAsia="en-CA"/>
        </w:rPr>
        <w:t xml:space="preserve">teams </w:t>
      </w:r>
      <w:r w:rsidR="00FA346B">
        <w:t xml:space="preserve">of </w:t>
      </w:r>
      <w:r w:rsidRPr="002E370F">
        <w:t xml:space="preserve">students, faculty and staff </w:t>
      </w:r>
      <w:r w:rsidR="00DA6987">
        <w:rPr>
          <w:color w:val="000000" w:themeColor="text1"/>
        </w:rPr>
        <w:t>strengthen</w:t>
      </w:r>
      <w:r w:rsidR="00DA6987" w:rsidRPr="002E370F">
        <w:rPr>
          <w:color w:val="000000" w:themeColor="text1"/>
        </w:rPr>
        <w:t xml:space="preserve"> the academic</w:t>
      </w:r>
      <w:r w:rsidR="00DA6987">
        <w:rPr>
          <w:color w:val="000000" w:themeColor="text1"/>
        </w:rPr>
        <w:t xml:space="preserve"> </w:t>
      </w:r>
      <w:r w:rsidR="00DA6987" w:rsidRPr="002E370F">
        <w:rPr>
          <w:color w:val="000000" w:themeColor="text1"/>
        </w:rPr>
        <w:t>environment</w:t>
      </w:r>
      <w:r w:rsidR="00DA6987">
        <w:rPr>
          <w:color w:val="000000" w:themeColor="text1"/>
        </w:rPr>
        <w:t xml:space="preserve"> </w:t>
      </w:r>
      <w:r w:rsidR="00DB1F7D">
        <w:rPr>
          <w:color w:val="000000" w:themeColor="text1"/>
        </w:rPr>
        <w:t xml:space="preserve">and </w:t>
      </w:r>
      <w:r w:rsidR="00DA6987">
        <w:rPr>
          <w:color w:val="000000" w:themeColor="text1"/>
        </w:rPr>
        <w:t xml:space="preserve">contribute to a more inclusive </w:t>
      </w:r>
      <w:r w:rsidR="00870370">
        <w:rPr>
          <w:color w:val="000000" w:themeColor="text1"/>
        </w:rPr>
        <w:t>community</w:t>
      </w:r>
      <w:r w:rsidR="00DB1F7D">
        <w:rPr>
          <w:color w:val="000000" w:themeColor="text1"/>
        </w:rPr>
        <w:t xml:space="preserve">. Diversity also </w:t>
      </w:r>
      <w:r w:rsidR="00DA6987" w:rsidRPr="002E370F">
        <w:rPr>
          <w:color w:val="000000" w:themeColor="text1"/>
        </w:rPr>
        <w:t>help</w:t>
      </w:r>
      <w:r w:rsidR="00DB1F7D">
        <w:rPr>
          <w:color w:val="000000" w:themeColor="text1"/>
        </w:rPr>
        <w:t>s</w:t>
      </w:r>
      <w:r w:rsidR="00DA6987" w:rsidRPr="002E370F">
        <w:rPr>
          <w:color w:val="000000" w:themeColor="text1"/>
        </w:rPr>
        <w:t xml:space="preserve"> </w:t>
      </w:r>
      <w:proofErr w:type="gramStart"/>
      <w:r w:rsidR="00DA6987" w:rsidRPr="002E370F">
        <w:rPr>
          <w:color w:val="000000" w:themeColor="text1"/>
        </w:rPr>
        <w:t>students,</w:t>
      </w:r>
      <w:proofErr w:type="gramEnd"/>
      <w:r w:rsidR="00DA6987" w:rsidRPr="002E370F">
        <w:rPr>
          <w:color w:val="000000" w:themeColor="text1"/>
        </w:rPr>
        <w:t xml:space="preserve"> faculty and staff</w:t>
      </w:r>
      <w:r w:rsidR="00DA6987">
        <w:rPr>
          <w:color w:val="000000" w:themeColor="text1"/>
        </w:rPr>
        <w:t xml:space="preserve"> develop cross-cultural competencies that enable professional success and responsible citizenship.</w:t>
      </w:r>
      <w:r w:rsidR="00DA6987">
        <w:t xml:space="preserve"> Ryerson encourages</w:t>
      </w:r>
      <w:r w:rsidRPr="002E370F">
        <w:t xml:space="preserve"> a common purpose, </w:t>
      </w:r>
      <w:r w:rsidR="00DA6987" w:rsidRPr="002E370F">
        <w:t>bring</w:t>
      </w:r>
      <w:r w:rsidR="00DA6987">
        <w:t>ing</w:t>
      </w:r>
      <w:r w:rsidR="00DA6987" w:rsidRPr="002E370F">
        <w:t xml:space="preserve"> </w:t>
      </w:r>
      <w:r w:rsidRPr="002E370F">
        <w:t>together disparate ideas and capabilities that invigorate the university as a whole.</w:t>
      </w:r>
    </w:p>
    <w:p w:rsidR="00EA5C19" w:rsidRDefault="00317052" w:rsidP="00B118C9">
      <w:r>
        <w:rPr>
          <w:rFonts w:eastAsia="Arial"/>
          <w:lang w:eastAsia="en-CA"/>
        </w:rPr>
        <w:t xml:space="preserve">Ryerson’s vision of being a leading innovation university extends </w:t>
      </w:r>
      <w:r w:rsidR="00B118C9">
        <w:rPr>
          <w:rFonts w:eastAsia="Arial"/>
          <w:lang w:eastAsia="en-CA"/>
        </w:rPr>
        <w:t>to how its faculty and staff think, act and get things done. The university will continue cultivating a</w:t>
      </w:r>
      <w:r w:rsidR="00A9326D">
        <w:rPr>
          <w:rFonts w:eastAsia="Arial"/>
          <w:lang w:eastAsia="en-CA"/>
        </w:rPr>
        <w:t xml:space="preserve"> collegial </w:t>
      </w:r>
      <w:r w:rsidR="004F49D4">
        <w:rPr>
          <w:rFonts w:eastAsia="Arial"/>
          <w:lang w:eastAsia="en-CA"/>
        </w:rPr>
        <w:t>environment</w:t>
      </w:r>
      <w:r w:rsidR="00B118C9">
        <w:rPr>
          <w:rFonts w:eastAsia="Arial"/>
          <w:lang w:eastAsia="en-CA"/>
        </w:rPr>
        <w:t xml:space="preserve"> that </w:t>
      </w:r>
      <w:r w:rsidR="009C0594">
        <w:rPr>
          <w:rFonts w:eastAsia="Arial"/>
          <w:lang w:eastAsia="en-CA"/>
        </w:rPr>
        <w:t xml:space="preserve">takes advantage of the enterprising ideas of experienced faculty and staff to increase teaching, learning, </w:t>
      </w:r>
      <w:r w:rsidR="00947579">
        <w:rPr>
          <w:rFonts w:eastAsia="Arial"/>
          <w:lang w:eastAsia="en-CA"/>
        </w:rPr>
        <w:t xml:space="preserve">SRC </w:t>
      </w:r>
      <w:r w:rsidR="009C0594">
        <w:rPr>
          <w:rFonts w:eastAsia="Arial"/>
          <w:lang w:eastAsia="en-CA"/>
        </w:rPr>
        <w:t xml:space="preserve">and operational excellence. </w:t>
      </w:r>
      <w:r w:rsidR="00B118C9">
        <w:rPr>
          <w:rFonts w:eastAsia="Arial"/>
          <w:lang w:eastAsia="en-CA"/>
        </w:rPr>
        <w:t xml:space="preserve">Experimentation and collaboration </w:t>
      </w:r>
      <w:r w:rsidR="00FA346B">
        <w:rPr>
          <w:rFonts w:eastAsia="Arial"/>
          <w:lang w:eastAsia="en-CA"/>
        </w:rPr>
        <w:t xml:space="preserve">among diverse teams </w:t>
      </w:r>
      <w:r w:rsidR="00B118C9">
        <w:rPr>
          <w:rFonts w:eastAsia="Arial"/>
          <w:lang w:eastAsia="en-CA"/>
        </w:rPr>
        <w:t xml:space="preserve">will be encouraged to </w:t>
      </w:r>
      <w:r w:rsidR="004F49D4">
        <w:rPr>
          <w:rFonts w:eastAsia="Arial"/>
          <w:lang w:eastAsia="en-CA"/>
        </w:rPr>
        <w:t xml:space="preserve">ensure that structures, systems, processes and </w:t>
      </w:r>
      <w:r w:rsidR="00053C9F">
        <w:rPr>
          <w:rFonts w:eastAsia="Arial"/>
          <w:lang w:eastAsia="en-CA"/>
        </w:rPr>
        <w:t>services</w:t>
      </w:r>
      <w:r w:rsidR="004F49D4">
        <w:rPr>
          <w:rFonts w:eastAsia="Arial"/>
          <w:lang w:eastAsia="en-CA"/>
        </w:rPr>
        <w:t xml:space="preserve"> remain flexible, nimble and responsive as the needs of the university change</w:t>
      </w:r>
      <w:r w:rsidR="00B118C9">
        <w:rPr>
          <w:rFonts w:eastAsia="Arial"/>
          <w:lang w:eastAsia="en-CA"/>
        </w:rPr>
        <w:t xml:space="preserve">. </w:t>
      </w:r>
      <w:r w:rsidR="00EA5C19" w:rsidRPr="002E370F">
        <w:rPr>
          <w:lang w:eastAsia="en-CA"/>
        </w:rPr>
        <w:t>Potential enhancements and modernizations to the university</w:t>
      </w:r>
      <w:r w:rsidR="009C0594">
        <w:rPr>
          <w:lang w:eastAsia="en-CA"/>
        </w:rPr>
        <w:t>’</w:t>
      </w:r>
      <w:r w:rsidR="00EA5C19" w:rsidRPr="002E370F">
        <w:rPr>
          <w:lang w:eastAsia="en-CA"/>
        </w:rPr>
        <w:t xml:space="preserve">s IT assets, digital communication channels and enterprise platforms </w:t>
      </w:r>
      <w:r w:rsidR="00DA6987">
        <w:rPr>
          <w:lang w:eastAsia="en-CA"/>
        </w:rPr>
        <w:t>will</w:t>
      </w:r>
      <w:r w:rsidR="00DA6987" w:rsidRPr="002E370F">
        <w:rPr>
          <w:lang w:eastAsia="en-CA"/>
        </w:rPr>
        <w:t xml:space="preserve"> </w:t>
      </w:r>
      <w:r w:rsidR="00EA5C19" w:rsidRPr="002E370F">
        <w:rPr>
          <w:lang w:eastAsia="en-CA"/>
        </w:rPr>
        <w:t xml:space="preserve">be evaluated, taking into </w:t>
      </w:r>
      <w:r w:rsidR="00EA5C19">
        <w:rPr>
          <w:lang w:eastAsia="en-CA"/>
        </w:rPr>
        <w:t xml:space="preserve">account </w:t>
      </w:r>
      <w:r w:rsidR="00EA5C19" w:rsidRPr="002E370F">
        <w:rPr>
          <w:lang w:eastAsia="en-CA"/>
        </w:rPr>
        <w:t>Ryerson’s reputation for strong digital, design and technology capabilities.</w:t>
      </w:r>
      <w:r w:rsidR="00EA5C19" w:rsidRPr="002E370F">
        <w:t xml:space="preserve"> </w:t>
      </w:r>
    </w:p>
    <w:p w:rsidR="00B118C9" w:rsidRDefault="00B118C9" w:rsidP="00B118C9">
      <w:pPr>
        <w:rPr>
          <w:lang w:eastAsia="en-CA"/>
        </w:rPr>
      </w:pPr>
      <w:r w:rsidRPr="002E370F">
        <w:t xml:space="preserve">The </w:t>
      </w:r>
      <w:r w:rsidR="00DA6987">
        <w:t xml:space="preserve">university will also </w:t>
      </w:r>
      <w:r w:rsidRPr="002E370F">
        <w:t xml:space="preserve">consider how existing space might be better used and shared. </w:t>
      </w:r>
      <w:r w:rsidRPr="002E370F">
        <w:rPr>
          <w:lang w:eastAsia="en-CA"/>
        </w:rPr>
        <w:t xml:space="preserve">When future opportunities are presented to build or update facilities, </w:t>
      </w:r>
      <w:r>
        <w:rPr>
          <w:lang w:eastAsia="en-CA"/>
        </w:rPr>
        <w:t xml:space="preserve">consideration should be given to </w:t>
      </w:r>
      <w:r w:rsidRPr="002E370F">
        <w:rPr>
          <w:lang w:eastAsia="en-CA"/>
        </w:rPr>
        <w:t>develop</w:t>
      </w:r>
      <w:r>
        <w:rPr>
          <w:lang w:eastAsia="en-CA"/>
        </w:rPr>
        <w:t>ing</w:t>
      </w:r>
      <w:r w:rsidRPr="002E370F">
        <w:rPr>
          <w:lang w:eastAsia="en-CA"/>
        </w:rPr>
        <w:t xml:space="preserve"> spaces that reflect the principles of the Master </w:t>
      </w:r>
      <w:proofErr w:type="gramStart"/>
      <w:r w:rsidRPr="002E370F">
        <w:rPr>
          <w:lang w:eastAsia="en-CA"/>
        </w:rPr>
        <w:t>Plan,</w:t>
      </w:r>
      <w:proofErr w:type="gramEnd"/>
      <w:r w:rsidRPr="002E370F">
        <w:rPr>
          <w:lang w:eastAsia="en-CA"/>
        </w:rPr>
        <w:t xml:space="preserve"> encourage collaboration and </w:t>
      </w:r>
      <w:r w:rsidR="00DA6987">
        <w:rPr>
          <w:lang w:eastAsia="en-CA"/>
        </w:rPr>
        <w:t xml:space="preserve">foster </w:t>
      </w:r>
      <w:r>
        <w:rPr>
          <w:lang w:eastAsia="en-CA"/>
        </w:rPr>
        <w:t xml:space="preserve">cross-disciplinary </w:t>
      </w:r>
      <w:r w:rsidRPr="002E370F">
        <w:rPr>
          <w:lang w:eastAsia="en-CA"/>
        </w:rPr>
        <w:t>interactions</w:t>
      </w:r>
      <w:r w:rsidR="006D5D3C">
        <w:rPr>
          <w:rStyle w:val="CommentReference"/>
        </w:rPr>
        <w:t xml:space="preserve"> </w:t>
      </w:r>
      <w:r w:rsidR="006D5D3C">
        <w:rPr>
          <w:lang w:eastAsia="en-CA"/>
        </w:rPr>
        <w:t>to</w:t>
      </w:r>
      <w:r w:rsidRPr="002E370F">
        <w:rPr>
          <w:lang w:eastAsia="en-CA"/>
        </w:rPr>
        <w:t xml:space="preserve"> spark creativity and innovation.</w:t>
      </w:r>
    </w:p>
    <w:p w:rsidR="00B118C9" w:rsidRPr="009C0594" w:rsidRDefault="00B118C9" w:rsidP="00591777">
      <w:pPr>
        <w:pBdr>
          <w:top w:val="dashSmallGap" w:sz="4" w:space="12" w:color="auto"/>
        </w:pBdr>
        <w:rPr>
          <w:b/>
          <w:lang w:eastAsia="en-CA"/>
        </w:rPr>
      </w:pPr>
      <w:r w:rsidRPr="009C0594">
        <w:rPr>
          <w:b/>
          <w:lang w:eastAsia="en-CA"/>
        </w:rPr>
        <w:lastRenderedPageBreak/>
        <w:t>STRATEGIES</w:t>
      </w:r>
    </w:p>
    <w:p w:rsidR="00B118C9" w:rsidRPr="009C0594" w:rsidRDefault="00B118C9" w:rsidP="002C37AB">
      <w:pPr>
        <w:pStyle w:val="ListParagraph"/>
        <w:numPr>
          <w:ilvl w:val="0"/>
          <w:numId w:val="3"/>
        </w:numPr>
        <w:contextualSpacing w:val="0"/>
        <w:rPr>
          <w:b/>
          <w:lang w:eastAsia="en-CA"/>
        </w:rPr>
      </w:pPr>
      <w:r w:rsidRPr="009C0594">
        <w:rPr>
          <w:b/>
          <w:lang w:eastAsia="en-CA"/>
        </w:rPr>
        <w:t>Attract and retain high-quality faculty and staff with diverse backgrounds.</w:t>
      </w:r>
    </w:p>
    <w:p w:rsidR="00B118C9" w:rsidRDefault="00B118C9" w:rsidP="002C37AB">
      <w:pPr>
        <w:pStyle w:val="ListParagraph"/>
        <w:numPr>
          <w:ilvl w:val="0"/>
          <w:numId w:val="3"/>
        </w:numPr>
        <w:contextualSpacing w:val="0"/>
        <w:rPr>
          <w:b/>
          <w:lang w:eastAsia="en-CA"/>
        </w:rPr>
      </w:pPr>
      <w:r w:rsidRPr="009C0594">
        <w:rPr>
          <w:b/>
          <w:lang w:eastAsia="en-CA"/>
        </w:rPr>
        <w:t xml:space="preserve">Assess administrative structures, processes and services to ensure ongoing effectiveness of university assets, support </w:t>
      </w:r>
      <w:r w:rsidR="00053C9F">
        <w:rPr>
          <w:b/>
          <w:lang w:eastAsia="en-CA"/>
        </w:rPr>
        <w:t xml:space="preserve">for </w:t>
      </w:r>
      <w:r w:rsidRPr="009C0594">
        <w:rPr>
          <w:b/>
          <w:lang w:eastAsia="en-CA"/>
        </w:rPr>
        <w:t>academic programming and SRC activity, and enhance</w:t>
      </w:r>
      <w:r w:rsidR="00053C9F">
        <w:rPr>
          <w:b/>
          <w:lang w:eastAsia="en-CA"/>
        </w:rPr>
        <w:t>d</w:t>
      </w:r>
      <w:r w:rsidRPr="009C0594">
        <w:rPr>
          <w:b/>
          <w:lang w:eastAsia="en-CA"/>
        </w:rPr>
        <w:t xml:space="preserve"> space utilization. </w:t>
      </w:r>
    </w:p>
    <w:p w:rsidR="00591777" w:rsidRPr="00591777" w:rsidRDefault="00591777" w:rsidP="00591777">
      <w:pPr>
        <w:pBdr>
          <w:bottom w:val="dashSmallGap" w:sz="4" w:space="1" w:color="auto"/>
        </w:pBdr>
        <w:rPr>
          <w:b/>
          <w:lang w:eastAsia="en-CA"/>
        </w:rPr>
      </w:pPr>
    </w:p>
    <w:p w:rsidR="000C2E46" w:rsidRDefault="000C2E46" w:rsidP="000C2E46">
      <w:pPr>
        <w:pStyle w:val="PriorityTag"/>
        <w:rPr>
          <w:lang w:eastAsia="en-CA"/>
        </w:rPr>
      </w:pPr>
      <w:r>
        <w:rPr>
          <w:lang w:eastAsia="en-CA"/>
        </w:rPr>
        <w:t>EXCEPTIONAL EXPERIENCES</w:t>
      </w:r>
    </w:p>
    <w:p w:rsidR="0005249D" w:rsidRDefault="00DA028D" w:rsidP="0005249D">
      <w:bookmarkStart w:id="34" w:name="_Toc387410420"/>
      <w:r>
        <w:rPr>
          <w:rStyle w:val="Heading2Char"/>
        </w:rPr>
        <w:t>Ryerson</w:t>
      </w:r>
      <w:r w:rsidR="0005249D" w:rsidRPr="0009034D">
        <w:rPr>
          <w:rStyle w:val="Heading2Char"/>
        </w:rPr>
        <w:t xml:space="preserve"> will </w:t>
      </w:r>
      <w:r w:rsidR="000F359B">
        <w:rPr>
          <w:rStyle w:val="Heading2Char"/>
        </w:rPr>
        <w:t>foster</w:t>
      </w:r>
      <w:r w:rsidR="0005249D" w:rsidRPr="0009034D">
        <w:rPr>
          <w:rStyle w:val="Heading2Char"/>
        </w:rPr>
        <w:t xml:space="preserve"> </w:t>
      </w:r>
      <w:r w:rsidR="00AA0907" w:rsidRPr="0009034D">
        <w:rPr>
          <w:rStyle w:val="Heading2Char"/>
        </w:rPr>
        <w:t xml:space="preserve">even greater </w:t>
      </w:r>
      <w:r w:rsidR="0005249D" w:rsidRPr="0009034D">
        <w:rPr>
          <w:rStyle w:val="Heading2Char"/>
        </w:rPr>
        <w:t>student engagement and success by offering exceptional experiences inside and outside the classroom.</w:t>
      </w:r>
      <w:bookmarkEnd w:id="34"/>
      <w:r w:rsidR="0005249D">
        <w:t xml:space="preserve"> </w:t>
      </w:r>
      <w:r w:rsidR="0005249D" w:rsidRPr="00F63090">
        <w:t>Ryerson is committed to helping students succeed</w:t>
      </w:r>
      <w:r w:rsidR="0005249D">
        <w:t xml:space="preserve"> and </w:t>
      </w:r>
      <w:r w:rsidR="00243194">
        <w:t>invests</w:t>
      </w:r>
      <w:r w:rsidR="0005249D">
        <w:t xml:space="preserve"> significant resources </w:t>
      </w:r>
      <w:r w:rsidR="002F5EF5">
        <w:t>in</w:t>
      </w:r>
      <w:r w:rsidR="0005249D">
        <w:t xml:space="preserve"> building a supportive </w:t>
      </w:r>
      <w:r w:rsidR="00243194">
        <w:t>learning</w:t>
      </w:r>
      <w:r w:rsidR="0005249D">
        <w:t xml:space="preserve"> environment</w:t>
      </w:r>
      <w:r w:rsidR="0005249D" w:rsidRPr="00F63090">
        <w:t>.</w:t>
      </w:r>
      <w:r w:rsidR="0005249D">
        <w:t xml:space="preserve"> </w:t>
      </w:r>
    </w:p>
    <w:p w:rsidR="00947579" w:rsidRDefault="0005249D" w:rsidP="0005249D">
      <w:r w:rsidRPr="002E370F">
        <w:t>The university will continue to strengthen and nurture existing programs</w:t>
      </w:r>
      <w:r w:rsidR="008541F8">
        <w:t>, ensuring above all else, that they remain high quality and current. P</w:t>
      </w:r>
      <w:r w:rsidR="004148E1">
        <w:t xml:space="preserve">rogram revisions </w:t>
      </w:r>
      <w:r w:rsidR="008541F8">
        <w:t xml:space="preserve">will be made more flexible </w:t>
      </w:r>
      <w:r w:rsidR="004148E1">
        <w:t>to respond to external developments in professions, industries and scholarly fields.</w:t>
      </w:r>
      <w:r w:rsidR="005F4598">
        <w:t xml:space="preserve"> It will also explore new program possibilities including professional master’s degrees</w:t>
      </w:r>
      <w:r w:rsidR="002C6639">
        <w:t xml:space="preserve"> which respond to student and societal demand</w:t>
      </w:r>
      <w:r w:rsidR="005F4598">
        <w:t xml:space="preserve"> in such areas as health and law.</w:t>
      </w:r>
      <w:r w:rsidR="00947579">
        <w:t xml:space="preserve"> </w:t>
      </w:r>
    </w:p>
    <w:p w:rsidR="0005249D" w:rsidRPr="002E370F" w:rsidRDefault="00DA6987" w:rsidP="0005249D">
      <w:pPr>
        <w:rPr>
          <w:rFonts w:eastAsia="Times New Roman"/>
          <w:color w:val="000000"/>
          <w:lang w:eastAsia="en-CA"/>
        </w:rPr>
      </w:pPr>
      <w:r>
        <w:rPr>
          <w:rFonts w:eastAsia="Times New Roman"/>
          <w:color w:val="000000"/>
          <w:lang w:eastAsia="en-CA"/>
        </w:rPr>
        <w:t xml:space="preserve">Student </w:t>
      </w:r>
      <w:r w:rsidR="00BC4152">
        <w:rPr>
          <w:rFonts w:eastAsia="Times New Roman"/>
          <w:color w:val="000000"/>
          <w:lang w:eastAsia="en-CA"/>
        </w:rPr>
        <w:t>recruitment</w:t>
      </w:r>
      <w:r>
        <w:rPr>
          <w:rFonts w:eastAsia="Times New Roman"/>
          <w:color w:val="000000"/>
          <w:lang w:eastAsia="en-CA"/>
        </w:rPr>
        <w:t xml:space="preserve"> and retention</w:t>
      </w:r>
      <w:r w:rsidRPr="002E370F">
        <w:rPr>
          <w:rFonts w:eastAsia="Times New Roman"/>
          <w:color w:val="000000"/>
          <w:lang w:eastAsia="en-CA"/>
        </w:rPr>
        <w:t>,</w:t>
      </w:r>
      <w:r>
        <w:rPr>
          <w:rFonts w:eastAsia="Times New Roman"/>
          <w:color w:val="000000"/>
          <w:lang w:eastAsia="en-CA"/>
        </w:rPr>
        <w:t xml:space="preserve"> </w:t>
      </w:r>
      <w:r w:rsidRPr="002E370F">
        <w:rPr>
          <w:rFonts w:eastAsia="Times New Roman"/>
          <w:color w:val="000000"/>
          <w:lang w:eastAsia="en-CA"/>
        </w:rPr>
        <w:t>flexible course scheduling, and access and transfer pathways</w:t>
      </w:r>
      <w:r>
        <w:rPr>
          <w:rFonts w:eastAsia="Times New Roman"/>
          <w:color w:val="000000"/>
          <w:lang w:eastAsia="en-CA"/>
        </w:rPr>
        <w:t xml:space="preserve"> remain important </w:t>
      </w:r>
      <w:r w:rsidR="00920D8B">
        <w:rPr>
          <w:rFonts w:eastAsia="Times New Roman"/>
          <w:color w:val="000000"/>
          <w:lang w:eastAsia="en-CA"/>
        </w:rPr>
        <w:t xml:space="preserve">considerations </w:t>
      </w:r>
      <w:r>
        <w:rPr>
          <w:rFonts w:eastAsia="Times New Roman"/>
          <w:color w:val="000000"/>
          <w:lang w:eastAsia="en-CA"/>
        </w:rPr>
        <w:t>in creating exceptional learning experiences</w:t>
      </w:r>
      <w:r w:rsidRPr="002E370F">
        <w:rPr>
          <w:rFonts w:eastAsia="Times New Roman"/>
          <w:color w:val="000000"/>
          <w:lang w:eastAsia="en-CA"/>
        </w:rPr>
        <w:t>.</w:t>
      </w:r>
      <w:r>
        <w:rPr>
          <w:rFonts w:eastAsia="Times New Roman"/>
          <w:color w:val="000000"/>
          <w:lang w:eastAsia="en-CA"/>
        </w:rPr>
        <w:t xml:space="preserve"> Through </w:t>
      </w:r>
      <w:r w:rsidR="00870370">
        <w:rPr>
          <w:rFonts w:eastAsia="Times New Roman"/>
          <w:color w:val="000000"/>
          <w:lang w:eastAsia="en-CA"/>
        </w:rPr>
        <w:t xml:space="preserve">the ongoing </w:t>
      </w:r>
      <w:r>
        <w:rPr>
          <w:rFonts w:eastAsia="Times New Roman"/>
          <w:color w:val="000000"/>
          <w:lang w:eastAsia="en-CA"/>
        </w:rPr>
        <w:t xml:space="preserve">Curriculum Renewal Initiative, Ryerson </w:t>
      </w:r>
      <w:r w:rsidR="00870370">
        <w:rPr>
          <w:rFonts w:eastAsia="Times New Roman"/>
          <w:color w:val="000000"/>
          <w:lang w:eastAsia="en-CA"/>
        </w:rPr>
        <w:t xml:space="preserve">will </w:t>
      </w:r>
      <w:r>
        <w:rPr>
          <w:rFonts w:eastAsia="Times New Roman"/>
          <w:color w:val="000000"/>
          <w:lang w:eastAsia="en-CA"/>
        </w:rPr>
        <w:t xml:space="preserve">give students greater choice to suit their career goals. The university will also emphasize </w:t>
      </w:r>
      <w:r w:rsidR="00323B73">
        <w:rPr>
          <w:rFonts w:eastAsia="Times New Roman"/>
          <w:color w:val="000000"/>
          <w:lang w:eastAsia="en-CA"/>
        </w:rPr>
        <w:t>curriculum innovation and</w:t>
      </w:r>
      <w:r w:rsidR="0005249D">
        <w:rPr>
          <w:rFonts w:eastAsia="Times New Roman"/>
          <w:color w:val="000000"/>
          <w:lang w:eastAsia="en-CA"/>
        </w:rPr>
        <w:t xml:space="preserve"> </w:t>
      </w:r>
      <w:r w:rsidR="000826A9">
        <w:rPr>
          <w:rFonts w:eastAsia="Times New Roman"/>
          <w:color w:val="000000"/>
          <w:lang w:eastAsia="en-CA"/>
        </w:rPr>
        <w:t xml:space="preserve">will do more to support the delivery </w:t>
      </w:r>
      <w:r w:rsidR="00870370">
        <w:rPr>
          <w:rFonts w:eastAsia="Times New Roman"/>
          <w:color w:val="000000"/>
          <w:lang w:eastAsia="en-CA"/>
        </w:rPr>
        <w:t xml:space="preserve">of </w:t>
      </w:r>
      <w:r w:rsidR="0005249D" w:rsidRPr="002E370F">
        <w:rPr>
          <w:rFonts w:eastAsia="Times New Roman"/>
          <w:color w:val="000000"/>
          <w:lang w:eastAsia="en-CA"/>
        </w:rPr>
        <w:t xml:space="preserve">interdisciplinary </w:t>
      </w:r>
      <w:r w:rsidR="00003482">
        <w:rPr>
          <w:rFonts w:eastAsia="Times New Roman"/>
          <w:color w:val="000000"/>
          <w:lang w:eastAsia="en-CA"/>
        </w:rPr>
        <w:t>programs and SRC activity</w:t>
      </w:r>
      <w:r w:rsidR="000826A9">
        <w:rPr>
          <w:rFonts w:eastAsia="Times New Roman"/>
          <w:color w:val="000000"/>
          <w:lang w:eastAsia="en-CA"/>
        </w:rPr>
        <w:t xml:space="preserve">, </w:t>
      </w:r>
      <w:r w:rsidR="000826A9" w:rsidRPr="002E370F">
        <w:t>minimiz</w:t>
      </w:r>
      <w:r w:rsidR="000826A9">
        <w:t>ing</w:t>
      </w:r>
      <w:r w:rsidR="000826A9" w:rsidRPr="002E370F">
        <w:t xml:space="preserve"> </w:t>
      </w:r>
      <w:r w:rsidR="00DC5BCD">
        <w:t xml:space="preserve">the </w:t>
      </w:r>
      <w:r w:rsidR="00323B73" w:rsidRPr="002E370F">
        <w:t>structural barriers that inhibit them.</w:t>
      </w:r>
      <w:r w:rsidR="0005249D">
        <w:rPr>
          <w:rFonts w:eastAsia="Times New Roman"/>
          <w:color w:val="000000"/>
          <w:lang w:eastAsia="en-CA"/>
        </w:rPr>
        <w:t xml:space="preserve"> </w:t>
      </w:r>
    </w:p>
    <w:p w:rsidR="00947579" w:rsidRPr="002E370F" w:rsidRDefault="00DA6987" w:rsidP="007B07D0">
      <w:pPr>
        <w:rPr>
          <w:rFonts w:eastAsia="Times New Roman"/>
          <w:color w:val="000000"/>
          <w:lang w:eastAsia="en-CA"/>
        </w:rPr>
      </w:pPr>
      <w:r>
        <w:rPr>
          <w:rFonts w:eastAsia="Times New Roman"/>
          <w:color w:val="000000"/>
          <w:lang w:eastAsia="en-CA"/>
        </w:rPr>
        <w:t>S</w:t>
      </w:r>
      <w:r w:rsidR="0005249D" w:rsidRPr="002E370F">
        <w:rPr>
          <w:rFonts w:eastAsia="Times New Roman"/>
          <w:color w:val="000000"/>
          <w:lang w:eastAsia="en-CA"/>
        </w:rPr>
        <w:t xml:space="preserve">tudents </w:t>
      </w:r>
      <w:r w:rsidR="00947579">
        <w:rPr>
          <w:rFonts w:eastAsia="Times New Roman"/>
          <w:color w:val="000000"/>
          <w:lang w:eastAsia="en-CA"/>
        </w:rPr>
        <w:t xml:space="preserve">will continue to </w:t>
      </w:r>
      <w:r w:rsidR="0005249D" w:rsidRPr="002E370F">
        <w:rPr>
          <w:rFonts w:eastAsia="Times New Roman"/>
          <w:color w:val="000000"/>
          <w:lang w:eastAsia="en-CA"/>
        </w:rPr>
        <w:t>acquire strong foundation</w:t>
      </w:r>
      <w:r w:rsidR="00947579">
        <w:rPr>
          <w:rFonts w:eastAsia="Times New Roman"/>
          <w:color w:val="000000"/>
          <w:lang w:eastAsia="en-CA"/>
        </w:rPr>
        <w:t>al</w:t>
      </w:r>
      <w:r w:rsidR="0005249D" w:rsidRPr="002E370F">
        <w:rPr>
          <w:rFonts w:eastAsia="Times New Roman"/>
          <w:color w:val="000000"/>
          <w:lang w:eastAsia="en-CA"/>
        </w:rPr>
        <w:t xml:space="preserve"> knowledge</w:t>
      </w:r>
      <w:r w:rsidR="00947579">
        <w:rPr>
          <w:rFonts w:eastAsia="Times New Roman"/>
          <w:color w:val="000000"/>
          <w:lang w:eastAsia="en-CA"/>
        </w:rPr>
        <w:t xml:space="preserve"> and </w:t>
      </w:r>
      <w:r w:rsidR="004148E1">
        <w:rPr>
          <w:rFonts w:eastAsia="Times New Roman"/>
          <w:color w:val="000000"/>
          <w:lang w:eastAsia="en-CA"/>
        </w:rPr>
        <w:t xml:space="preserve">practical </w:t>
      </w:r>
      <w:r w:rsidR="00947579">
        <w:rPr>
          <w:rFonts w:eastAsia="Times New Roman"/>
          <w:color w:val="000000"/>
          <w:lang w:eastAsia="en-CA"/>
        </w:rPr>
        <w:t xml:space="preserve">skills within </w:t>
      </w:r>
      <w:r w:rsidR="0005249D" w:rsidRPr="002E370F">
        <w:rPr>
          <w:rFonts w:eastAsia="Times New Roman"/>
          <w:color w:val="000000"/>
          <w:lang w:eastAsia="en-CA"/>
        </w:rPr>
        <w:t>their disciplines</w:t>
      </w:r>
      <w:r>
        <w:rPr>
          <w:rFonts w:eastAsia="Times New Roman"/>
          <w:color w:val="000000"/>
          <w:lang w:eastAsia="en-CA"/>
        </w:rPr>
        <w:t xml:space="preserve"> and through experiential learning opportunities. T</w:t>
      </w:r>
      <w:r w:rsidR="0005249D" w:rsidRPr="002E370F">
        <w:rPr>
          <w:rFonts w:eastAsia="Times New Roman"/>
          <w:color w:val="000000"/>
          <w:lang w:eastAsia="en-CA"/>
        </w:rPr>
        <w:t xml:space="preserve">he university will provide undergraduate and graduate students with increased opportunities to develop </w:t>
      </w:r>
      <w:r w:rsidR="00947579">
        <w:rPr>
          <w:rFonts w:eastAsia="Times New Roman"/>
          <w:color w:val="000000"/>
          <w:lang w:eastAsia="en-CA"/>
        </w:rPr>
        <w:t xml:space="preserve">broad transferrable </w:t>
      </w:r>
      <w:r w:rsidR="0005249D" w:rsidRPr="002E370F">
        <w:rPr>
          <w:rFonts w:eastAsia="Times New Roman"/>
          <w:color w:val="000000"/>
          <w:lang w:eastAsia="en-CA"/>
        </w:rPr>
        <w:t xml:space="preserve">knowledge and competencies, </w:t>
      </w:r>
      <w:r w:rsidR="00685DD7">
        <w:rPr>
          <w:rFonts w:eastAsia="Times New Roman"/>
          <w:color w:val="000000"/>
          <w:lang w:eastAsia="en-CA"/>
        </w:rPr>
        <w:t>including hard and soft skills, which</w:t>
      </w:r>
      <w:r w:rsidR="0005249D">
        <w:rPr>
          <w:rFonts w:eastAsia="Times New Roman"/>
          <w:color w:val="000000"/>
          <w:lang w:eastAsia="en-CA"/>
        </w:rPr>
        <w:t xml:space="preserve"> </w:t>
      </w:r>
      <w:r w:rsidR="007B07D0">
        <w:rPr>
          <w:rFonts w:eastAsia="Times New Roman"/>
          <w:color w:val="000000"/>
          <w:lang w:eastAsia="en-CA"/>
        </w:rPr>
        <w:t>enable successful c</w:t>
      </w:r>
      <w:r w:rsidR="006D2C72">
        <w:rPr>
          <w:rFonts w:eastAsia="Times New Roman"/>
          <w:color w:val="000000"/>
          <w:lang w:eastAsia="en-CA"/>
        </w:rPr>
        <w:t>areer building and transitioning</w:t>
      </w:r>
      <w:r w:rsidR="00164884">
        <w:rPr>
          <w:rFonts w:eastAsia="Times New Roman"/>
          <w:color w:val="000000"/>
          <w:lang w:eastAsia="en-CA"/>
        </w:rPr>
        <w:t xml:space="preserve">. </w:t>
      </w:r>
      <w:r w:rsidR="002F5EF5">
        <w:rPr>
          <w:rFonts w:eastAsia="Times New Roman"/>
          <w:color w:val="000000"/>
          <w:lang w:eastAsia="en-CA"/>
        </w:rPr>
        <w:t xml:space="preserve">Ryerson’s zone </w:t>
      </w:r>
      <w:r w:rsidR="00164884">
        <w:rPr>
          <w:rFonts w:eastAsia="Times New Roman"/>
          <w:color w:val="000000"/>
          <w:lang w:eastAsia="en-CA"/>
        </w:rPr>
        <w:t>learning</w:t>
      </w:r>
      <w:r w:rsidR="002F5EF5">
        <w:rPr>
          <w:rFonts w:eastAsia="Times New Roman"/>
          <w:color w:val="000000"/>
          <w:lang w:eastAsia="en-CA"/>
        </w:rPr>
        <w:t xml:space="preserve"> – a key driver in the university’s innovation ecosystem –</w:t>
      </w:r>
      <w:r w:rsidR="00164884">
        <w:rPr>
          <w:rFonts w:eastAsia="Times New Roman"/>
          <w:color w:val="000000"/>
          <w:lang w:eastAsia="en-CA"/>
        </w:rPr>
        <w:t xml:space="preserve"> </w:t>
      </w:r>
      <w:r w:rsidR="004B53CF">
        <w:rPr>
          <w:rFonts w:eastAsia="Times New Roman"/>
          <w:color w:val="000000"/>
          <w:lang w:eastAsia="en-CA"/>
        </w:rPr>
        <w:t xml:space="preserve">will </w:t>
      </w:r>
      <w:r w:rsidR="002F5EF5">
        <w:rPr>
          <w:rFonts w:eastAsia="Times New Roman"/>
          <w:color w:val="000000"/>
          <w:lang w:eastAsia="en-CA"/>
        </w:rPr>
        <w:t>give students dedicated support and space</w:t>
      </w:r>
      <w:r w:rsidR="00DC5BCD">
        <w:rPr>
          <w:rFonts w:eastAsia="Times New Roman"/>
          <w:color w:val="000000"/>
          <w:lang w:eastAsia="en-CA"/>
        </w:rPr>
        <w:t>s</w:t>
      </w:r>
      <w:r w:rsidR="002F5EF5">
        <w:rPr>
          <w:rFonts w:eastAsia="Times New Roman"/>
          <w:color w:val="000000"/>
          <w:lang w:eastAsia="en-CA"/>
        </w:rPr>
        <w:t xml:space="preserve"> for taking their ideas to the next level</w:t>
      </w:r>
      <w:r>
        <w:rPr>
          <w:rFonts w:eastAsia="Times New Roman"/>
          <w:color w:val="000000"/>
          <w:lang w:eastAsia="en-CA"/>
        </w:rPr>
        <w:t>,</w:t>
      </w:r>
      <w:r w:rsidR="002F5EF5">
        <w:rPr>
          <w:rFonts w:eastAsia="Times New Roman"/>
          <w:color w:val="000000"/>
          <w:lang w:eastAsia="en-CA"/>
        </w:rPr>
        <w:t xml:space="preserve"> </w:t>
      </w:r>
      <w:r w:rsidR="00280CA5">
        <w:rPr>
          <w:rFonts w:eastAsia="Times New Roman"/>
          <w:color w:val="000000"/>
          <w:lang w:eastAsia="en-CA"/>
        </w:rPr>
        <w:t xml:space="preserve">and </w:t>
      </w:r>
      <w:r w:rsidR="004B53CF">
        <w:rPr>
          <w:rFonts w:eastAsia="Times New Roman"/>
          <w:color w:val="000000"/>
          <w:lang w:eastAsia="en-CA"/>
        </w:rPr>
        <w:t>encourag</w:t>
      </w:r>
      <w:r w:rsidR="00280CA5">
        <w:rPr>
          <w:rFonts w:eastAsia="Times New Roman"/>
          <w:color w:val="000000"/>
          <w:lang w:eastAsia="en-CA"/>
        </w:rPr>
        <w:t>e</w:t>
      </w:r>
      <w:r w:rsidR="004B53CF">
        <w:rPr>
          <w:rFonts w:eastAsia="Times New Roman"/>
          <w:color w:val="000000"/>
          <w:lang w:eastAsia="en-CA"/>
        </w:rPr>
        <w:t xml:space="preserve"> </w:t>
      </w:r>
      <w:r w:rsidR="002F5EF5">
        <w:rPr>
          <w:rFonts w:eastAsia="Times New Roman"/>
          <w:color w:val="000000"/>
          <w:lang w:eastAsia="en-CA"/>
        </w:rPr>
        <w:t>entrepreneurial thinking</w:t>
      </w:r>
      <w:r w:rsidR="002142B9">
        <w:rPr>
          <w:rFonts w:eastAsia="Times New Roman"/>
          <w:color w:val="000000"/>
          <w:lang w:eastAsia="en-CA"/>
        </w:rPr>
        <w:t>. A</w:t>
      </w:r>
      <w:r w:rsidR="00685DD7">
        <w:rPr>
          <w:rFonts w:eastAsia="Times New Roman"/>
          <w:color w:val="000000"/>
          <w:lang w:eastAsia="en-CA"/>
        </w:rPr>
        <w:t>ll students</w:t>
      </w:r>
      <w:r w:rsidR="002142B9">
        <w:rPr>
          <w:rFonts w:eastAsia="Times New Roman"/>
          <w:color w:val="000000"/>
          <w:lang w:eastAsia="en-CA"/>
        </w:rPr>
        <w:t xml:space="preserve"> regardless of career ambitions </w:t>
      </w:r>
      <w:r w:rsidR="00685DD7">
        <w:rPr>
          <w:rFonts w:eastAsia="Times New Roman"/>
          <w:color w:val="000000"/>
          <w:lang w:eastAsia="en-CA"/>
        </w:rPr>
        <w:t xml:space="preserve">stand to benefit </w:t>
      </w:r>
      <w:r w:rsidR="002142B9">
        <w:rPr>
          <w:rFonts w:eastAsia="Times New Roman"/>
          <w:color w:val="000000"/>
          <w:lang w:eastAsia="en-CA"/>
        </w:rPr>
        <w:t>from zone learning</w:t>
      </w:r>
      <w:r w:rsidR="00685DD7">
        <w:rPr>
          <w:rFonts w:eastAsia="Times New Roman"/>
          <w:color w:val="000000"/>
          <w:lang w:eastAsia="en-CA"/>
        </w:rPr>
        <w:t xml:space="preserve">. </w:t>
      </w:r>
      <w:r w:rsidR="002C6639">
        <w:rPr>
          <w:rFonts w:eastAsia="Times New Roman"/>
          <w:color w:val="000000"/>
          <w:lang w:eastAsia="en-CA"/>
        </w:rPr>
        <w:t xml:space="preserve">It </w:t>
      </w:r>
      <w:r w:rsidR="004B53CF">
        <w:rPr>
          <w:rFonts w:eastAsia="Times New Roman"/>
          <w:color w:val="000000"/>
          <w:lang w:eastAsia="en-CA"/>
        </w:rPr>
        <w:t>teach</w:t>
      </w:r>
      <w:r w:rsidR="002C6639">
        <w:rPr>
          <w:rFonts w:eastAsia="Times New Roman"/>
          <w:color w:val="000000"/>
          <w:lang w:eastAsia="en-CA"/>
        </w:rPr>
        <w:t>es</w:t>
      </w:r>
      <w:r w:rsidR="004B53CF">
        <w:rPr>
          <w:rFonts w:eastAsia="Times New Roman"/>
          <w:color w:val="000000"/>
          <w:lang w:eastAsia="en-CA"/>
        </w:rPr>
        <w:t xml:space="preserve"> </w:t>
      </w:r>
      <w:r w:rsidR="00685DD7">
        <w:rPr>
          <w:rFonts w:eastAsia="Times New Roman"/>
          <w:color w:val="000000"/>
          <w:lang w:eastAsia="en-CA"/>
        </w:rPr>
        <w:t xml:space="preserve">critical life skills such as the </w:t>
      </w:r>
      <w:r w:rsidR="004D2652">
        <w:rPr>
          <w:rFonts w:eastAsia="Times New Roman"/>
          <w:color w:val="000000"/>
          <w:lang w:eastAsia="en-CA"/>
        </w:rPr>
        <w:t xml:space="preserve">ability </w:t>
      </w:r>
      <w:r w:rsidR="00685DD7">
        <w:rPr>
          <w:rFonts w:eastAsia="Times New Roman"/>
          <w:color w:val="000000"/>
          <w:lang w:eastAsia="en-CA"/>
        </w:rPr>
        <w:t xml:space="preserve">to take </w:t>
      </w:r>
      <w:r w:rsidR="00F12893">
        <w:rPr>
          <w:rFonts w:eastAsia="Times New Roman"/>
          <w:color w:val="000000"/>
          <w:lang w:eastAsia="en-CA"/>
        </w:rPr>
        <w:t xml:space="preserve">smart, </w:t>
      </w:r>
      <w:r w:rsidR="00685DD7">
        <w:rPr>
          <w:rFonts w:eastAsia="Times New Roman"/>
          <w:color w:val="000000"/>
          <w:lang w:eastAsia="en-CA"/>
        </w:rPr>
        <w:t xml:space="preserve">calculated risks and the resiliency to learn from mistakes. </w:t>
      </w:r>
    </w:p>
    <w:p w:rsidR="0005249D" w:rsidRPr="002E370F" w:rsidRDefault="004B53CF" w:rsidP="0005249D">
      <w:r>
        <w:lastRenderedPageBreak/>
        <w:t>A</w:t>
      </w:r>
      <w:r w:rsidR="006D2C72">
        <w:t xml:space="preserve">ctive </w:t>
      </w:r>
      <w:r>
        <w:t xml:space="preserve">student </w:t>
      </w:r>
      <w:r w:rsidR="006D2C72">
        <w:t>engagement</w:t>
      </w:r>
      <w:r w:rsidR="006D2C72" w:rsidRPr="002E370F">
        <w:t xml:space="preserve"> </w:t>
      </w:r>
      <w:r>
        <w:t>and</w:t>
      </w:r>
      <w:r w:rsidRPr="002E370F">
        <w:t xml:space="preserve"> </w:t>
      </w:r>
      <w:r w:rsidR="006D2C72">
        <w:t>a welcoming</w:t>
      </w:r>
      <w:r>
        <w:t>,</w:t>
      </w:r>
      <w:r w:rsidR="006D2C72">
        <w:t xml:space="preserve"> vibrant </w:t>
      </w:r>
      <w:r w:rsidR="006D2C72" w:rsidRPr="002E370F">
        <w:t>university life can make a tremendous difference to students</w:t>
      </w:r>
      <w:r w:rsidR="002C6639">
        <w:t>’ learning</w:t>
      </w:r>
      <w:r>
        <w:t>. T</w:t>
      </w:r>
      <w:r w:rsidR="00B54124">
        <w:t xml:space="preserve">he </w:t>
      </w:r>
      <w:r w:rsidR="006D2C72">
        <w:t xml:space="preserve">university will </w:t>
      </w:r>
      <w:r w:rsidR="006D2C72">
        <w:rPr>
          <w:shd w:val="clear" w:color="auto" w:fill="FFFFFF"/>
        </w:rPr>
        <w:t>o</w:t>
      </w:r>
      <w:r w:rsidR="0005249D" w:rsidRPr="002E370F">
        <w:rPr>
          <w:shd w:val="clear" w:color="auto" w:fill="FFFFFF"/>
        </w:rPr>
        <w:t xml:space="preserve">ffer </w:t>
      </w:r>
      <w:r>
        <w:rPr>
          <w:shd w:val="clear" w:color="auto" w:fill="FFFFFF"/>
        </w:rPr>
        <w:t xml:space="preserve">expanded </w:t>
      </w:r>
      <w:r w:rsidR="0005249D" w:rsidRPr="002E370F">
        <w:t>co-curricular activities</w:t>
      </w:r>
      <w:r>
        <w:t>, intramural and recreation programs</w:t>
      </w:r>
      <w:r w:rsidR="002C6639">
        <w:t xml:space="preserve">; </w:t>
      </w:r>
      <w:r w:rsidR="0005249D" w:rsidRPr="00EE0655">
        <w:rPr>
          <w:rFonts w:eastAsia="Times New Roman"/>
          <w:lang w:eastAsia="en-CA"/>
        </w:rPr>
        <w:t>encourag</w:t>
      </w:r>
      <w:r w:rsidR="006D2C72">
        <w:rPr>
          <w:rFonts w:eastAsia="Times New Roman"/>
          <w:lang w:eastAsia="en-CA"/>
        </w:rPr>
        <w:t>e</w:t>
      </w:r>
      <w:r w:rsidR="0005249D" w:rsidRPr="00EE0655">
        <w:rPr>
          <w:rFonts w:eastAsia="Times New Roman"/>
          <w:lang w:eastAsia="en-CA"/>
        </w:rPr>
        <w:t xml:space="preserve"> involvement in and collaboration between student organizations and clubs, competitions at the national and international levels, and other activities</w:t>
      </w:r>
      <w:r w:rsidR="0005249D">
        <w:rPr>
          <w:rFonts w:eastAsia="Times New Roman"/>
          <w:lang w:eastAsia="en-CA"/>
        </w:rPr>
        <w:t xml:space="preserve"> led by students and staff</w:t>
      </w:r>
      <w:r w:rsidR="0005249D" w:rsidRPr="002E370F">
        <w:rPr>
          <w:rFonts w:eastAsia="Times New Roman"/>
          <w:lang w:eastAsia="en-CA"/>
        </w:rPr>
        <w:t xml:space="preserve">; </w:t>
      </w:r>
      <w:r w:rsidR="0005249D" w:rsidRPr="002E370F">
        <w:t>creat</w:t>
      </w:r>
      <w:r w:rsidR="006D2C72">
        <w:t>e</w:t>
      </w:r>
      <w:r w:rsidR="0005249D" w:rsidRPr="002E370F">
        <w:t xml:space="preserve"> </w:t>
      </w:r>
      <w:r>
        <w:t xml:space="preserve">shared </w:t>
      </w:r>
      <w:r w:rsidR="0005249D" w:rsidRPr="002E370F">
        <w:rPr>
          <w:shd w:val="clear" w:color="auto" w:fill="FFFFFF"/>
        </w:rPr>
        <w:t xml:space="preserve">spaces where students will want to spend time with their peers; and offer </w:t>
      </w:r>
      <w:r w:rsidR="00B54124">
        <w:rPr>
          <w:shd w:val="clear" w:color="auto" w:fill="FFFFFF"/>
        </w:rPr>
        <w:t xml:space="preserve">a nationally recognized program of </w:t>
      </w:r>
      <w:r w:rsidR="0005249D" w:rsidRPr="002E370F">
        <w:rPr>
          <w:shd w:val="clear" w:color="auto" w:fill="FFFFFF"/>
        </w:rPr>
        <w:t>varsity athletics.</w:t>
      </w:r>
      <w:r w:rsidR="0005249D" w:rsidRPr="002E370F">
        <w:t xml:space="preserve"> </w:t>
      </w:r>
    </w:p>
    <w:p w:rsidR="007764B9" w:rsidRPr="002E370F" w:rsidRDefault="004B53CF" w:rsidP="0005249D">
      <w:pPr>
        <w:rPr>
          <w:rFonts w:eastAsia="Times New Roman"/>
          <w:color w:val="000000"/>
          <w:lang w:eastAsia="en-CA"/>
        </w:rPr>
      </w:pPr>
      <w:r>
        <w:rPr>
          <w:rFonts w:eastAsia="Times New Roman"/>
          <w:color w:val="000000"/>
          <w:lang w:eastAsia="en-CA"/>
        </w:rPr>
        <w:t xml:space="preserve">Ryerson is experiencing increasing </w:t>
      </w:r>
      <w:r w:rsidR="0005249D" w:rsidRPr="002E370F">
        <w:rPr>
          <w:rFonts w:eastAsia="Times New Roman"/>
          <w:color w:val="000000"/>
          <w:lang w:eastAsia="en-CA"/>
        </w:rPr>
        <w:t>d</w:t>
      </w:r>
      <w:r w:rsidR="0005249D">
        <w:rPr>
          <w:rFonts w:eastAsia="Times New Roman"/>
          <w:color w:val="000000"/>
          <w:lang w:eastAsia="en-CA"/>
        </w:rPr>
        <w:t xml:space="preserve">emand for </w:t>
      </w:r>
      <w:r w:rsidR="0005249D" w:rsidRPr="002E370F">
        <w:rPr>
          <w:rFonts w:eastAsia="Times New Roman"/>
          <w:color w:val="000000"/>
          <w:lang w:eastAsia="en-CA"/>
        </w:rPr>
        <w:t xml:space="preserve">services that </w:t>
      </w:r>
      <w:r w:rsidR="0005249D">
        <w:rPr>
          <w:rFonts w:eastAsia="Times New Roman"/>
          <w:color w:val="000000"/>
          <w:lang w:eastAsia="en-CA"/>
        </w:rPr>
        <w:t xml:space="preserve">aid students </w:t>
      </w:r>
      <w:r w:rsidR="0005249D" w:rsidRPr="002E370F">
        <w:rPr>
          <w:rFonts w:eastAsia="Times New Roman"/>
          <w:color w:val="000000"/>
          <w:lang w:eastAsia="en-CA"/>
        </w:rPr>
        <w:t xml:space="preserve">to complete their studies, including support for mental </w:t>
      </w:r>
      <w:r w:rsidR="00F12893">
        <w:rPr>
          <w:rFonts w:eastAsia="Times New Roman"/>
          <w:color w:val="000000"/>
          <w:lang w:eastAsia="en-CA"/>
        </w:rPr>
        <w:t>well-being</w:t>
      </w:r>
      <w:r>
        <w:rPr>
          <w:rFonts w:eastAsia="Times New Roman"/>
          <w:color w:val="000000"/>
          <w:lang w:eastAsia="en-CA"/>
        </w:rPr>
        <w:t xml:space="preserve">. </w:t>
      </w:r>
      <w:r w:rsidR="0005249D" w:rsidRPr="002E370F">
        <w:rPr>
          <w:rFonts w:eastAsia="Times New Roman"/>
          <w:color w:val="000000"/>
          <w:lang w:eastAsia="en-CA"/>
        </w:rPr>
        <w:t xml:space="preserve">Ryerson </w:t>
      </w:r>
      <w:r>
        <w:rPr>
          <w:rFonts w:eastAsia="Times New Roman"/>
          <w:color w:val="000000"/>
          <w:lang w:eastAsia="en-CA"/>
        </w:rPr>
        <w:t xml:space="preserve">will make strong efforts to </w:t>
      </w:r>
      <w:r w:rsidR="0005249D" w:rsidRPr="002E370F">
        <w:rPr>
          <w:rFonts w:eastAsia="Times New Roman"/>
          <w:color w:val="000000"/>
          <w:lang w:eastAsia="en-CA"/>
        </w:rPr>
        <w:t xml:space="preserve">offer the </w:t>
      </w:r>
      <w:r w:rsidR="0005249D">
        <w:rPr>
          <w:rFonts w:eastAsia="Times New Roman"/>
          <w:color w:val="000000"/>
          <w:lang w:eastAsia="en-CA"/>
        </w:rPr>
        <w:t>right level and type of support</w:t>
      </w:r>
      <w:r w:rsidR="0005249D" w:rsidRPr="002E370F">
        <w:rPr>
          <w:rFonts w:eastAsia="Times New Roman"/>
          <w:color w:val="000000"/>
          <w:lang w:eastAsia="en-CA"/>
        </w:rPr>
        <w:t xml:space="preserve"> for all students</w:t>
      </w:r>
      <w:r w:rsidR="00056326">
        <w:rPr>
          <w:rFonts w:eastAsia="Times New Roman"/>
          <w:color w:val="000000"/>
          <w:lang w:eastAsia="en-CA"/>
        </w:rPr>
        <w:t>.</w:t>
      </w:r>
      <w:r w:rsidR="0005249D" w:rsidRPr="002E370F">
        <w:rPr>
          <w:rFonts w:eastAsia="Times New Roman"/>
          <w:color w:val="000000"/>
          <w:lang w:eastAsia="en-CA"/>
        </w:rPr>
        <w:t xml:space="preserve"> </w:t>
      </w:r>
    </w:p>
    <w:p w:rsidR="0005249D" w:rsidRPr="0005249D" w:rsidRDefault="0005249D" w:rsidP="0005249D">
      <w:pPr>
        <w:pBdr>
          <w:top w:val="dashSmallGap" w:sz="4" w:space="12" w:color="auto"/>
        </w:pBdr>
        <w:rPr>
          <w:rFonts w:eastAsia="Times New Roman"/>
          <w:b/>
          <w:lang w:eastAsia="en-CA"/>
        </w:rPr>
      </w:pPr>
      <w:r w:rsidRPr="0005249D">
        <w:rPr>
          <w:b/>
          <w:lang w:eastAsia="en-CA"/>
        </w:rPr>
        <w:t>STRATEGIES</w:t>
      </w:r>
    </w:p>
    <w:p w:rsidR="00DA4E0A" w:rsidRDefault="00AE734A" w:rsidP="00DA4E0A">
      <w:pPr>
        <w:pStyle w:val="ListParagraph"/>
        <w:numPr>
          <w:ilvl w:val="0"/>
          <w:numId w:val="3"/>
        </w:numPr>
        <w:contextualSpacing w:val="0"/>
        <w:rPr>
          <w:rFonts w:eastAsia="Times New Roman"/>
          <w:b/>
          <w:lang w:eastAsia="en-CA"/>
        </w:rPr>
      </w:pPr>
      <w:r>
        <w:rPr>
          <w:rFonts w:eastAsia="Times New Roman"/>
          <w:b/>
          <w:lang w:eastAsia="en-CA"/>
        </w:rPr>
        <w:t>C</w:t>
      </w:r>
      <w:r w:rsidR="0005249D" w:rsidRPr="0005249D">
        <w:rPr>
          <w:rFonts w:eastAsia="Times New Roman"/>
          <w:b/>
          <w:lang w:eastAsia="en-CA"/>
        </w:rPr>
        <w:t xml:space="preserve">ontinue </w:t>
      </w:r>
      <w:r w:rsidR="00EF1026">
        <w:rPr>
          <w:rFonts w:eastAsia="Times New Roman"/>
          <w:b/>
          <w:lang w:eastAsia="en-CA"/>
        </w:rPr>
        <w:t>the ongoing evolution of</w:t>
      </w:r>
      <w:r>
        <w:rPr>
          <w:rFonts w:eastAsia="Times New Roman"/>
          <w:b/>
          <w:lang w:eastAsia="en-CA"/>
        </w:rPr>
        <w:t xml:space="preserve"> Ryerson’s high-quality curriculum</w:t>
      </w:r>
      <w:r w:rsidR="0005249D" w:rsidRPr="0005249D">
        <w:rPr>
          <w:rFonts w:eastAsia="Times New Roman"/>
          <w:b/>
          <w:lang w:eastAsia="en-CA"/>
        </w:rPr>
        <w:t xml:space="preserve">, so that programming and its delivery remain innovative and responsive to students. Courses will be made more accessible, students will be given more choice and transferability will be enhanced. </w:t>
      </w:r>
    </w:p>
    <w:p w:rsidR="0005249D" w:rsidRPr="00DA4E0A" w:rsidRDefault="0005249D" w:rsidP="00DA4E0A">
      <w:pPr>
        <w:pStyle w:val="ListParagraph"/>
        <w:numPr>
          <w:ilvl w:val="0"/>
          <w:numId w:val="3"/>
        </w:numPr>
        <w:contextualSpacing w:val="0"/>
        <w:rPr>
          <w:rFonts w:eastAsia="Times New Roman"/>
          <w:b/>
          <w:lang w:eastAsia="en-CA"/>
        </w:rPr>
      </w:pPr>
      <w:r w:rsidRPr="00DA4E0A">
        <w:rPr>
          <w:rFonts w:eastAsia="Times New Roman"/>
          <w:b/>
          <w:color w:val="000000"/>
          <w:lang w:eastAsia="en-CA"/>
        </w:rPr>
        <w:t xml:space="preserve">Foster greater interdisciplinary </w:t>
      </w:r>
      <w:r w:rsidRPr="00DA4E0A">
        <w:rPr>
          <w:rFonts w:eastAsia="Times New Roman"/>
          <w:b/>
          <w:lang w:eastAsia="en-CA"/>
        </w:rPr>
        <w:t xml:space="preserve">SRC activity, </w:t>
      </w:r>
      <w:r w:rsidRPr="00DA4E0A">
        <w:rPr>
          <w:rFonts w:eastAsia="Times New Roman"/>
          <w:b/>
          <w:color w:val="000000"/>
          <w:lang w:eastAsia="en-CA"/>
        </w:rPr>
        <w:t>curriculum</w:t>
      </w:r>
      <w:r w:rsidR="00DC5BCD" w:rsidRPr="00DA4E0A">
        <w:rPr>
          <w:rFonts w:eastAsia="Times New Roman"/>
          <w:b/>
          <w:color w:val="000000"/>
          <w:lang w:eastAsia="en-CA"/>
        </w:rPr>
        <w:t xml:space="preserve"> and</w:t>
      </w:r>
      <w:r w:rsidRPr="00DA4E0A">
        <w:rPr>
          <w:rFonts w:eastAsia="Times New Roman"/>
          <w:b/>
          <w:color w:val="000000"/>
          <w:lang w:eastAsia="en-CA"/>
        </w:rPr>
        <w:t xml:space="preserve"> programs</w:t>
      </w:r>
      <w:r w:rsidRPr="00DA4E0A">
        <w:rPr>
          <w:rFonts w:eastAsia="Times New Roman"/>
          <w:b/>
          <w:color w:val="FF0000"/>
          <w:lang w:eastAsia="en-CA"/>
        </w:rPr>
        <w:t xml:space="preserve"> </w:t>
      </w:r>
      <w:r w:rsidRPr="00DA4E0A">
        <w:rPr>
          <w:rFonts w:eastAsia="Times New Roman"/>
          <w:b/>
          <w:color w:val="000000"/>
          <w:lang w:eastAsia="en-CA"/>
        </w:rPr>
        <w:t>– including the continued evolution of the curriculum model – giving consideration to development, delivery, administration, support and related policies.</w:t>
      </w:r>
    </w:p>
    <w:p w:rsidR="002C16A1" w:rsidRDefault="0005249D" w:rsidP="00DA4E0A">
      <w:pPr>
        <w:pStyle w:val="ListParagraph"/>
        <w:numPr>
          <w:ilvl w:val="0"/>
          <w:numId w:val="3"/>
        </w:numPr>
        <w:contextualSpacing w:val="0"/>
        <w:rPr>
          <w:rFonts w:eastAsia="Times New Roman"/>
          <w:b/>
          <w:color w:val="000000"/>
          <w:lang w:eastAsia="en-CA"/>
        </w:rPr>
      </w:pPr>
      <w:r w:rsidRPr="0005249D">
        <w:rPr>
          <w:rFonts w:eastAsia="Times New Roman"/>
          <w:b/>
          <w:color w:val="000000"/>
          <w:lang w:eastAsia="en-CA"/>
        </w:rPr>
        <w:t xml:space="preserve">Evolve and expand experiential learning opportunities for undergraduate and graduate students. </w:t>
      </w:r>
    </w:p>
    <w:p w:rsidR="00705332" w:rsidRPr="00705332" w:rsidRDefault="0005249D" w:rsidP="00DA4E0A">
      <w:pPr>
        <w:pStyle w:val="ListParagraph"/>
        <w:numPr>
          <w:ilvl w:val="0"/>
          <w:numId w:val="3"/>
        </w:numPr>
        <w:contextualSpacing w:val="0"/>
        <w:rPr>
          <w:rFonts w:eastAsia="Times New Roman"/>
          <w:b/>
          <w:color w:val="000000"/>
          <w:lang w:eastAsia="en-CA"/>
        </w:rPr>
      </w:pPr>
      <w:r w:rsidRPr="00705332">
        <w:rPr>
          <w:rFonts w:eastAsia="Times New Roman"/>
          <w:b/>
          <w:color w:val="000000"/>
          <w:lang w:eastAsia="en-CA"/>
        </w:rPr>
        <w:t>Offer services, supports, spaces and improved engagement opportunities that enable student</w:t>
      </w:r>
      <w:r w:rsidR="00705332" w:rsidRPr="00705332">
        <w:rPr>
          <w:rFonts w:eastAsia="Times New Roman"/>
          <w:b/>
          <w:color w:val="000000"/>
          <w:lang w:eastAsia="en-CA"/>
        </w:rPr>
        <w:t xml:space="preserve"> success</w:t>
      </w:r>
      <w:r w:rsidRPr="00705332">
        <w:rPr>
          <w:rFonts w:eastAsia="Times New Roman"/>
          <w:b/>
          <w:color w:val="000000"/>
          <w:lang w:eastAsia="en-CA"/>
        </w:rPr>
        <w:t xml:space="preserve"> at all levels</w:t>
      </w:r>
      <w:r w:rsidR="00EF1026">
        <w:rPr>
          <w:rFonts w:eastAsia="Times New Roman"/>
          <w:b/>
          <w:color w:val="000000"/>
          <w:lang w:eastAsia="en-CA"/>
        </w:rPr>
        <w:t>,</w:t>
      </w:r>
      <w:r w:rsidRPr="00705332">
        <w:rPr>
          <w:rFonts w:eastAsia="Times New Roman"/>
          <w:b/>
          <w:color w:val="000000"/>
          <w:lang w:eastAsia="en-CA"/>
        </w:rPr>
        <w:t xml:space="preserve"> encourage high retention</w:t>
      </w:r>
      <w:r w:rsidR="00EF1026">
        <w:rPr>
          <w:rFonts w:eastAsia="Times New Roman"/>
          <w:b/>
          <w:color w:val="000000"/>
          <w:lang w:eastAsia="en-CA"/>
        </w:rPr>
        <w:t>,</w:t>
      </w:r>
      <w:r w:rsidRPr="00705332">
        <w:rPr>
          <w:rFonts w:eastAsia="Times New Roman"/>
          <w:b/>
          <w:color w:val="000000"/>
          <w:lang w:eastAsia="en-CA"/>
        </w:rPr>
        <w:t xml:space="preserve"> and </w:t>
      </w:r>
      <w:r w:rsidR="00EF1026">
        <w:rPr>
          <w:rFonts w:eastAsia="Times New Roman"/>
          <w:b/>
          <w:color w:val="000000"/>
          <w:lang w:eastAsia="en-CA"/>
        </w:rPr>
        <w:t xml:space="preserve">facilitate the </w:t>
      </w:r>
      <w:r w:rsidR="007240EA">
        <w:rPr>
          <w:rFonts w:eastAsia="Times New Roman"/>
          <w:b/>
          <w:color w:val="000000"/>
          <w:lang w:eastAsia="en-CA"/>
        </w:rPr>
        <w:t>timely completion of students’</w:t>
      </w:r>
      <w:r w:rsidRPr="00705332">
        <w:rPr>
          <w:rFonts w:eastAsia="Times New Roman"/>
          <w:b/>
          <w:color w:val="000000"/>
          <w:lang w:eastAsia="en-CA"/>
        </w:rPr>
        <w:t xml:space="preserve"> academic goals.</w:t>
      </w:r>
    </w:p>
    <w:p w:rsidR="007764B9" w:rsidRPr="007764B9" w:rsidRDefault="007764B9" w:rsidP="007764B9">
      <w:pPr>
        <w:pBdr>
          <w:bottom w:val="dashSmallGap" w:sz="4" w:space="1" w:color="auto"/>
        </w:pBdr>
        <w:rPr>
          <w:b/>
          <w:lang w:eastAsia="en-CA"/>
        </w:rPr>
      </w:pPr>
    </w:p>
    <w:p w:rsidR="007764B9" w:rsidRDefault="007764B9" w:rsidP="007764B9">
      <w:pPr>
        <w:pStyle w:val="PriorityTag"/>
        <w:rPr>
          <w:lang w:eastAsia="en-CA"/>
        </w:rPr>
      </w:pPr>
      <w:r>
        <w:rPr>
          <w:lang w:eastAsia="en-CA"/>
        </w:rPr>
        <w:t>ACCESS</w:t>
      </w:r>
    </w:p>
    <w:p w:rsidR="007764B9" w:rsidRDefault="007764B9" w:rsidP="007764B9">
      <w:pPr>
        <w:rPr>
          <w:lang w:eastAsia="en-CA"/>
        </w:rPr>
      </w:pPr>
      <w:bookmarkStart w:id="35" w:name="_Toc387410421"/>
      <w:r w:rsidRPr="0009034D">
        <w:rPr>
          <w:rStyle w:val="Heading2Char"/>
        </w:rPr>
        <w:t xml:space="preserve">Ryerson will continue to provide access to </w:t>
      </w:r>
      <w:r w:rsidR="005239B3" w:rsidRPr="0009034D">
        <w:rPr>
          <w:rStyle w:val="Heading2Char"/>
        </w:rPr>
        <w:t xml:space="preserve">post-secondary </w:t>
      </w:r>
      <w:r w:rsidRPr="0009034D">
        <w:rPr>
          <w:rStyle w:val="Heading2Char"/>
        </w:rPr>
        <w:t>education and support</w:t>
      </w:r>
      <w:r w:rsidR="005239B3" w:rsidRPr="0009034D">
        <w:rPr>
          <w:rStyle w:val="Heading2Char"/>
        </w:rPr>
        <w:t xml:space="preserve"> </w:t>
      </w:r>
      <w:r w:rsidRPr="0009034D">
        <w:rPr>
          <w:rStyle w:val="Heading2Char"/>
        </w:rPr>
        <w:t>for adult learners and under-represented</w:t>
      </w:r>
      <w:r w:rsidR="005239B3" w:rsidRPr="0009034D">
        <w:rPr>
          <w:rStyle w:val="Heading2Char"/>
        </w:rPr>
        <w:t xml:space="preserve"> groups</w:t>
      </w:r>
      <w:r w:rsidRPr="0009034D">
        <w:rPr>
          <w:rStyle w:val="Heading2Char"/>
        </w:rPr>
        <w:t>.</w:t>
      </w:r>
      <w:bookmarkEnd w:id="35"/>
      <w:r>
        <w:rPr>
          <w:lang w:eastAsia="en-CA"/>
        </w:rPr>
        <w:t xml:space="preserve"> Supporting</w:t>
      </w:r>
      <w:r w:rsidRPr="007F50CA">
        <w:rPr>
          <w:lang w:eastAsia="en-CA"/>
        </w:rPr>
        <w:t xml:space="preserve"> access to education and lifelong learning is part of Ryerson’s mission and reflects</w:t>
      </w:r>
      <w:r>
        <w:rPr>
          <w:lang w:eastAsia="en-CA"/>
        </w:rPr>
        <w:t xml:space="preserve"> its </w:t>
      </w:r>
      <w:r w:rsidRPr="007F50CA">
        <w:rPr>
          <w:lang w:eastAsia="en-CA"/>
        </w:rPr>
        <w:t xml:space="preserve">commitment to serve </w:t>
      </w:r>
      <w:r w:rsidR="00015BDF">
        <w:rPr>
          <w:lang w:eastAsia="en-CA"/>
        </w:rPr>
        <w:t>society</w:t>
      </w:r>
      <w:r>
        <w:rPr>
          <w:lang w:eastAsia="en-CA"/>
        </w:rPr>
        <w:t xml:space="preserve">. </w:t>
      </w:r>
      <w:r w:rsidR="005239B3">
        <w:rPr>
          <w:lang w:eastAsia="en-CA"/>
        </w:rPr>
        <w:t xml:space="preserve">The university will continue to make opportunities available to those desiring to change careers, pursue advanced training, and build brighter futures through education. </w:t>
      </w:r>
      <w:r>
        <w:rPr>
          <w:lang w:eastAsia="en-CA"/>
        </w:rPr>
        <w:t xml:space="preserve">Access to education is delivered through The G. Raymond Chang School </w:t>
      </w:r>
      <w:r w:rsidR="00681A23">
        <w:rPr>
          <w:lang w:eastAsia="en-CA"/>
        </w:rPr>
        <w:t>of</w:t>
      </w:r>
      <w:r>
        <w:rPr>
          <w:lang w:eastAsia="en-CA"/>
        </w:rPr>
        <w:t xml:space="preserve"> Continuing Education, which offers many of its </w:t>
      </w:r>
      <w:r>
        <w:rPr>
          <w:lang w:eastAsia="en-CA"/>
        </w:rPr>
        <w:lastRenderedPageBreak/>
        <w:t xml:space="preserve">courses through distance education, and through programs and initiatives that bridge gaps to university education for </w:t>
      </w:r>
      <w:r w:rsidR="00F4685A">
        <w:rPr>
          <w:lang w:eastAsia="en-CA"/>
        </w:rPr>
        <w:t>members of</w:t>
      </w:r>
      <w:r>
        <w:rPr>
          <w:lang w:eastAsia="en-CA"/>
        </w:rPr>
        <w:t xml:space="preserve"> under-represented groups. Initiatives </w:t>
      </w:r>
      <w:r w:rsidR="00DC5BCD">
        <w:rPr>
          <w:lang w:eastAsia="en-CA"/>
        </w:rPr>
        <w:t>to</w:t>
      </w:r>
      <w:r>
        <w:rPr>
          <w:lang w:eastAsia="en-CA"/>
        </w:rPr>
        <w:t xml:space="preserve"> ease transitions for students transferring to or from Ryerson will also be supported.</w:t>
      </w:r>
    </w:p>
    <w:p w:rsidR="007764B9" w:rsidRPr="0005249D" w:rsidRDefault="007764B9" w:rsidP="007764B9">
      <w:pPr>
        <w:pBdr>
          <w:top w:val="dashSmallGap" w:sz="4" w:space="12" w:color="auto"/>
        </w:pBdr>
        <w:rPr>
          <w:rFonts w:eastAsia="Times New Roman"/>
          <w:lang w:eastAsia="en-CA"/>
        </w:rPr>
      </w:pPr>
      <w:r w:rsidRPr="007764B9">
        <w:rPr>
          <w:b/>
          <w:lang w:eastAsia="en-CA"/>
        </w:rPr>
        <w:t>STRATEGIES</w:t>
      </w:r>
    </w:p>
    <w:p w:rsidR="007764B9" w:rsidRPr="007764B9" w:rsidRDefault="007764B9" w:rsidP="00535D8E">
      <w:pPr>
        <w:pStyle w:val="ListParagraph"/>
        <w:numPr>
          <w:ilvl w:val="0"/>
          <w:numId w:val="3"/>
        </w:numPr>
        <w:contextualSpacing w:val="0"/>
        <w:rPr>
          <w:b/>
          <w:color w:val="000000"/>
          <w:lang w:eastAsia="en-CA"/>
        </w:rPr>
      </w:pPr>
      <w:r w:rsidRPr="007764B9">
        <w:rPr>
          <w:b/>
          <w:color w:val="000000"/>
          <w:lang w:eastAsia="en-CA"/>
        </w:rPr>
        <w:t>Develop access and program initiatives to support under-represented groups, including Aboriginal students, first</w:t>
      </w:r>
      <w:r w:rsidR="00783B4E">
        <w:rPr>
          <w:b/>
          <w:color w:val="000000"/>
          <w:lang w:eastAsia="en-CA"/>
        </w:rPr>
        <w:t xml:space="preserve"> </w:t>
      </w:r>
      <w:r w:rsidRPr="007764B9">
        <w:rPr>
          <w:b/>
          <w:color w:val="000000"/>
          <w:lang w:eastAsia="en-CA"/>
        </w:rPr>
        <w:t xml:space="preserve">generation students, students with disabilities and internationally educated professionals. </w:t>
      </w:r>
    </w:p>
    <w:p w:rsidR="005239B3" w:rsidRDefault="007764B9" w:rsidP="00535D8E">
      <w:pPr>
        <w:pStyle w:val="ListParagraph"/>
        <w:numPr>
          <w:ilvl w:val="0"/>
          <w:numId w:val="3"/>
        </w:numPr>
        <w:contextualSpacing w:val="0"/>
        <w:rPr>
          <w:b/>
          <w:color w:val="000000"/>
          <w:lang w:eastAsia="en-CA"/>
        </w:rPr>
      </w:pPr>
      <w:r w:rsidRPr="007764B9">
        <w:rPr>
          <w:b/>
          <w:color w:val="000000"/>
          <w:lang w:eastAsia="en-CA"/>
        </w:rPr>
        <w:t xml:space="preserve">Encourage partnership between academic departments and </w:t>
      </w:r>
      <w:r w:rsidR="007240EA">
        <w:rPr>
          <w:b/>
          <w:color w:val="000000"/>
          <w:lang w:eastAsia="en-CA"/>
        </w:rPr>
        <w:br/>
      </w:r>
      <w:r w:rsidRPr="007764B9">
        <w:rPr>
          <w:b/>
          <w:color w:val="000000"/>
          <w:lang w:eastAsia="en-CA"/>
        </w:rPr>
        <w:t xml:space="preserve">The G. Raymond Chang School of Continuing Education to support growth in continuing education through on-campus and distance offerings. </w:t>
      </w:r>
    </w:p>
    <w:p w:rsidR="005239B3" w:rsidRPr="005239B3" w:rsidRDefault="007764B9" w:rsidP="00535D8E">
      <w:pPr>
        <w:pStyle w:val="ListParagraph"/>
        <w:numPr>
          <w:ilvl w:val="0"/>
          <w:numId w:val="3"/>
        </w:numPr>
        <w:contextualSpacing w:val="0"/>
        <w:rPr>
          <w:b/>
          <w:color w:val="000000"/>
          <w:lang w:eastAsia="en-CA"/>
        </w:rPr>
      </w:pPr>
      <w:r w:rsidRPr="005239B3">
        <w:rPr>
          <w:b/>
          <w:color w:val="000000"/>
          <w:lang w:eastAsia="en-CA"/>
        </w:rPr>
        <w:t>Enhance pathways and transition support for students transferring from other post-secondary institutions</w:t>
      </w:r>
      <w:r w:rsidR="00DC5BCD">
        <w:rPr>
          <w:b/>
          <w:color w:val="000000"/>
          <w:lang w:eastAsia="en-CA"/>
        </w:rPr>
        <w:t>, and provide appropriate transfer credit for students’ prior learning</w:t>
      </w:r>
      <w:r w:rsidRPr="005239B3">
        <w:rPr>
          <w:b/>
          <w:color w:val="000000"/>
          <w:lang w:eastAsia="en-CA"/>
        </w:rPr>
        <w:t>.</w:t>
      </w:r>
      <w:r w:rsidR="005239B3" w:rsidRPr="005239B3">
        <w:rPr>
          <w:b/>
          <w:lang w:eastAsia="en-CA"/>
        </w:rPr>
        <w:t xml:space="preserve"> </w:t>
      </w:r>
    </w:p>
    <w:p w:rsidR="005239B3" w:rsidRPr="005239B3" w:rsidRDefault="005239B3" w:rsidP="005239B3">
      <w:pPr>
        <w:pBdr>
          <w:bottom w:val="dashSmallGap" w:sz="4" w:space="1" w:color="auto"/>
        </w:pBdr>
        <w:rPr>
          <w:b/>
          <w:lang w:eastAsia="en-CA"/>
        </w:rPr>
      </w:pPr>
    </w:p>
    <w:p w:rsidR="005239B3" w:rsidRDefault="0009034D" w:rsidP="005239B3">
      <w:pPr>
        <w:pStyle w:val="PriorityTag"/>
        <w:rPr>
          <w:lang w:eastAsia="en-CA"/>
        </w:rPr>
      </w:pPr>
      <w:r>
        <w:rPr>
          <w:lang w:eastAsia="en-CA"/>
        </w:rPr>
        <w:t>TEACHING AND LEARNING</w:t>
      </w:r>
    </w:p>
    <w:p w:rsidR="00705941" w:rsidRDefault="0009034D" w:rsidP="008E503C">
      <w:pPr>
        <w:rPr>
          <w:lang w:eastAsia="en-CA"/>
        </w:rPr>
      </w:pPr>
      <w:bookmarkStart w:id="36" w:name="_Toc387410422"/>
      <w:r w:rsidRPr="0009034D">
        <w:rPr>
          <w:rStyle w:val="Heading2Char"/>
        </w:rPr>
        <w:t xml:space="preserve">Ryerson will </w:t>
      </w:r>
      <w:r w:rsidR="00DA028D">
        <w:rPr>
          <w:rStyle w:val="Heading2Char"/>
        </w:rPr>
        <w:t>continue to</w:t>
      </w:r>
      <w:r w:rsidRPr="0009034D">
        <w:rPr>
          <w:rStyle w:val="Heading2Char"/>
        </w:rPr>
        <w:t xml:space="preserve"> distinguish itself through teaching and learning excellence.</w:t>
      </w:r>
      <w:bookmarkEnd w:id="36"/>
      <w:r w:rsidR="00AD3E7F">
        <w:rPr>
          <w:b/>
          <w:lang w:eastAsia="en-CA"/>
        </w:rPr>
        <w:t xml:space="preserve"> </w:t>
      </w:r>
      <w:r>
        <w:rPr>
          <w:lang w:eastAsia="en-CA"/>
        </w:rPr>
        <w:t xml:space="preserve">The university </w:t>
      </w:r>
      <w:r w:rsidR="00841A1B">
        <w:rPr>
          <w:lang w:eastAsia="en-CA"/>
        </w:rPr>
        <w:t xml:space="preserve">already </w:t>
      </w:r>
      <w:r w:rsidRPr="005536CD">
        <w:rPr>
          <w:lang w:eastAsia="en-CA"/>
        </w:rPr>
        <w:t xml:space="preserve">offers </w:t>
      </w:r>
      <w:r w:rsidR="00841A1B">
        <w:rPr>
          <w:lang w:eastAsia="en-CA"/>
        </w:rPr>
        <w:t xml:space="preserve">a robust </w:t>
      </w:r>
      <w:r w:rsidRPr="005536CD">
        <w:rPr>
          <w:lang w:eastAsia="en-CA"/>
        </w:rPr>
        <w:t>learning and teaching program</w:t>
      </w:r>
      <w:r>
        <w:rPr>
          <w:lang w:eastAsia="en-CA"/>
        </w:rPr>
        <w:t xml:space="preserve"> and </w:t>
      </w:r>
      <w:r w:rsidR="000434BE">
        <w:rPr>
          <w:lang w:eastAsia="en-CA"/>
        </w:rPr>
        <w:t>popular</w:t>
      </w:r>
      <w:r>
        <w:rPr>
          <w:lang w:eastAsia="en-CA"/>
        </w:rPr>
        <w:t xml:space="preserve"> teaching workshops to help faculty members, instructors and teaching assistants develop their teaching skills and better achieve learning outcomes. </w:t>
      </w:r>
      <w:r w:rsidR="00705332">
        <w:rPr>
          <w:lang w:eastAsia="en-CA"/>
        </w:rPr>
        <w:t>The university will support faculty in the use of new technologies, and develop best practices for high-quality distance education and hybrid learning as part of a blended learning strategy.</w:t>
      </w:r>
    </w:p>
    <w:p w:rsidR="00280CA5" w:rsidRDefault="0009034D" w:rsidP="004B53CF">
      <w:r w:rsidRPr="001D10F3">
        <w:rPr>
          <w:lang w:eastAsia="en-CA"/>
        </w:rPr>
        <w:t xml:space="preserve">Consideration </w:t>
      </w:r>
      <w:r w:rsidR="000F359B">
        <w:rPr>
          <w:lang w:eastAsia="en-CA"/>
        </w:rPr>
        <w:t>will</w:t>
      </w:r>
      <w:r w:rsidRPr="001D10F3">
        <w:rPr>
          <w:lang w:eastAsia="en-CA"/>
        </w:rPr>
        <w:t xml:space="preserve"> </w:t>
      </w:r>
      <w:r>
        <w:rPr>
          <w:lang w:eastAsia="en-CA"/>
        </w:rPr>
        <w:t xml:space="preserve">also </w:t>
      </w:r>
      <w:r w:rsidRPr="001D10F3">
        <w:rPr>
          <w:lang w:eastAsia="en-CA"/>
        </w:rPr>
        <w:t>be given</w:t>
      </w:r>
      <w:r w:rsidR="00EF1026">
        <w:rPr>
          <w:lang w:eastAsia="en-CA"/>
        </w:rPr>
        <w:t>,</w:t>
      </w:r>
      <w:r w:rsidRPr="001D10F3">
        <w:rPr>
          <w:lang w:eastAsia="en-CA"/>
        </w:rPr>
        <w:t xml:space="preserve"> </w:t>
      </w:r>
      <w:r>
        <w:rPr>
          <w:lang w:eastAsia="en-CA"/>
        </w:rPr>
        <w:t>in learning and teaching programs</w:t>
      </w:r>
      <w:r w:rsidR="00EF1026">
        <w:rPr>
          <w:lang w:eastAsia="en-CA"/>
        </w:rPr>
        <w:t>,</w:t>
      </w:r>
      <w:r>
        <w:rPr>
          <w:lang w:eastAsia="en-CA"/>
        </w:rPr>
        <w:t xml:space="preserve"> </w:t>
      </w:r>
      <w:r w:rsidR="00DC5BCD">
        <w:rPr>
          <w:lang w:eastAsia="en-CA"/>
        </w:rPr>
        <w:t xml:space="preserve">of </w:t>
      </w:r>
      <w:r w:rsidR="000F359B">
        <w:rPr>
          <w:lang w:eastAsia="en-CA"/>
        </w:rPr>
        <w:t xml:space="preserve">how </w:t>
      </w:r>
      <w:r w:rsidR="00EF1026" w:rsidRPr="001D10F3">
        <w:rPr>
          <w:lang w:eastAsia="en-CA"/>
        </w:rPr>
        <w:t>best</w:t>
      </w:r>
      <w:r w:rsidR="000F359B">
        <w:rPr>
          <w:lang w:eastAsia="en-CA"/>
        </w:rPr>
        <w:t xml:space="preserve"> </w:t>
      </w:r>
      <w:r w:rsidRPr="001D10F3">
        <w:rPr>
          <w:lang w:eastAsia="en-CA"/>
        </w:rPr>
        <w:t xml:space="preserve">to </w:t>
      </w:r>
      <w:r w:rsidR="000F359B">
        <w:rPr>
          <w:lang w:eastAsia="en-CA"/>
        </w:rPr>
        <w:t xml:space="preserve">support </w:t>
      </w:r>
      <w:r w:rsidRPr="00265CDB">
        <w:rPr>
          <w:lang w:eastAsia="en-CA"/>
        </w:rPr>
        <w:t xml:space="preserve">faculty members’ development to meet students’ changing </w:t>
      </w:r>
      <w:r w:rsidR="000F359B">
        <w:rPr>
          <w:lang w:eastAsia="en-CA"/>
        </w:rPr>
        <w:t xml:space="preserve">needs and </w:t>
      </w:r>
      <w:r w:rsidRPr="00265CDB">
        <w:rPr>
          <w:lang w:eastAsia="en-CA"/>
        </w:rPr>
        <w:t>expectations</w:t>
      </w:r>
      <w:r w:rsidR="0047722D">
        <w:rPr>
          <w:lang w:eastAsia="en-CA"/>
        </w:rPr>
        <w:t>, to provide an inclusive learning environment</w:t>
      </w:r>
      <w:r w:rsidRPr="00265CDB">
        <w:rPr>
          <w:lang w:eastAsia="en-CA"/>
        </w:rPr>
        <w:t xml:space="preserve"> and to </w:t>
      </w:r>
      <w:r w:rsidRPr="005536CD">
        <w:rPr>
          <w:lang w:eastAsia="en-CA"/>
        </w:rPr>
        <w:t xml:space="preserve">contribute to students’ experiences inside and outside the classroom. </w:t>
      </w:r>
      <w:r w:rsidR="00013CA1">
        <w:rPr>
          <w:lang w:eastAsia="en-CA"/>
        </w:rPr>
        <w:t>I</w:t>
      </w:r>
      <w:r w:rsidR="00DC5BCD">
        <w:rPr>
          <w:lang w:eastAsia="en-CA"/>
        </w:rPr>
        <w:t>nteractions with faculty</w:t>
      </w:r>
      <w:r w:rsidRPr="001D10F3">
        <w:rPr>
          <w:lang w:eastAsia="en-CA"/>
        </w:rPr>
        <w:t xml:space="preserve"> translate into </w:t>
      </w:r>
      <w:r w:rsidR="00013CA1">
        <w:rPr>
          <w:lang w:eastAsia="en-CA"/>
        </w:rPr>
        <w:t xml:space="preserve">valuable </w:t>
      </w:r>
      <w:r w:rsidRPr="001D10F3">
        <w:rPr>
          <w:lang w:eastAsia="en-CA"/>
        </w:rPr>
        <w:t xml:space="preserve">learning experiences and build relationships that </w:t>
      </w:r>
      <w:r w:rsidRPr="001D10F3">
        <w:t xml:space="preserve">establish </w:t>
      </w:r>
      <w:r>
        <w:t xml:space="preserve">a solid </w:t>
      </w:r>
      <w:r w:rsidRPr="001D10F3">
        <w:t>foundation for success in upper-year</w:t>
      </w:r>
      <w:r w:rsidR="000F359B">
        <w:t>s</w:t>
      </w:r>
      <w:r w:rsidR="00841A1B">
        <w:t>,</w:t>
      </w:r>
      <w:r w:rsidR="000F359B">
        <w:t xml:space="preserve"> create engaged alumni and</w:t>
      </w:r>
      <w:r w:rsidR="00841A1B">
        <w:t xml:space="preserve"> </w:t>
      </w:r>
      <w:r>
        <w:t>support retention</w:t>
      </w:r>
      <w:r w:rsidR="000F359B">
        <w:t xml:space="preserve">. </w:t>
      </w:r>
    </w:p>
    <w:p w:rsidR="0009034D" w:rsidRDefault="0009034D" w:rsidP="004B53CF">
      <w:pPr>
        <w:rPr>
          <w:lang w:eastAsia="en-CA"/>
        </w:rPr>
      </w:pPr>
      <w:r>
        <w:rPr>
          <w:lang w:eastAsia="en-CA"/>
        </w:rPr>
        <w:t xml:space="preserve">The university recognizes that </w:t>
      </w:r>
      <w:r w:rsidRPr="001073E7">
        <w:rPr>
          <w:lang w:eastAsia="en-CA"/>
        </w:rPr>
        <w:t xml:space="preserve">research and external connections </w:t>
      </w:r>
      <w:r w:rsidR="000434BE">
        <w:rPr>
          <w:lang w:eastAsia="en-CA"/>
        </w:rPr>
        <w:t>to community and</w:t>
      </w:r>
      <w:r w:rsidRPr="001073E7">
        <w:rPr>
          <w:lang w:eastAsia="en-CA"/>
        </w:rPr>
        <w:t xml:space="preserve"> </w:t>
      </w:r>
      <w:r w:rsidR="000434BE">
        <w:rPr>
          <w:lang w:eastAsia="en-CA"/>
        </w:rPr>
        <w:t>industry</w:t>
      </w:r>
      <w:r w:rsidRPr="001073E7">
        <w:rPr>
          <w:lang w:eastAsia="en-CA"/>
        </w:rPr>
        <w:t xml:space="preserve"> are drivers </w:t>
      </w:r>
      <w:r w:rsidR="000F359B">
        <w:rPr>
          <w:lang w:eastAsia="en-CA"/>
        </w:rPr>
        <w:t>in</w:t>
      </w:r>
      <w:r w:rsidRPr="001073E7">
        <w:rPr>
          <w:lang w:eastAsia="en-CA"/>
        </w:rPr>
        <w:t xml:space="preserve"> teaching and learning excellence.</w:t>
      </w:r>
      <w:r w:rsidRPr="002E370F">
        <w:rPr>
          <w:lang w:eastAsia="en-CA"/>
        </w:rPr>
        <w:t xml:space="preserve"> </w:t>
      </w:r>
      <w:r w:rsidR="004B53CF">
        <w:rPr>
          <w:lang w:eastAsia="en-CA"/>
        </w:rPr>
        <w:t>S</w:t>
      </w:r>
      <w:r w:rsidR="000434BE">
        <w:rPr>
          <w:lang w:eastAsia="en-CA"/>
        </w:rPr>
        <w:t xml:space="preserve">tronger </w:t>
      </w:r>
      <w:r>
        <w:rPr>
          <w:lang w:eastAsia="en-CA"/>
        </w:rPr>
        <w:t>link</w:t>
      </w:r>
      <w:r w:rsidR="000434BE">
        <w:rPr>
          <w:lang w:eastAsia="en-CA"/>
        </w:rPr>
        <w:t>ages between the</w:t>
      </w:r>
      <w:r>
        <w:rPr>
          <w:lang w:eastAsia="en-CA"/>
        </w:rPr>
        <w:t xml:space="preserve"> teaching </w:t>
      </w:r>
      <w:r w:rsidR="000434BE">
        <w:rPr>
          <w:lang w:eastAsia="en-CA"/>
        </w:rPr>
        <w:t>and</w:t>
      </w:r>
      <w:r>
        <w:rPr>
          <w:lang w:eastAsia="en-CA"/>
        </w:rPr>
        <w:t xml:space="preserve"> research</w:t>
      </w:r>
      <w:r w:rsidR="000434BE">
        <w:rPr>
          <w:lang w:eastAsia="en-CA"/>
        </w:rPr>
        <w:t xml:space="preserve"> enterprises</w:t>
      </w:r>
      <w:r>
        <w:rPr>
          <w:lang w:eastAsia="en-CA"/>
        </w:rPr>
        <w:t xml:space="preserve"> </w:t>
      </w:r>
      <w:r w:rsidR="004B53CF">
        <w:rPr>
          <w:lang w:eastAsia="en-CA"/>
        </w:rPr>
        <w:t xml:space="preserve">will engage undergraduate and graduate students and </w:t>
      </w:r>
      <w:r>
        <w:rPr>
          <w:lang w:eastAsia="en-CA"/>
        </w:rPr>
        <w:t xml:space="preserve">support greater </w:t>
      </w:r>
      <w:r w:rsidR="000434BE">
        <w:rPr>
          <w:lang w:eastAsia="en-CA"/>
        </w:rPr>
        <w:t xml:space="preserve">SRC </w:t>
      </w:r>
      <w:r>
        <w:rPr>
          <w:lang w:eastAsia="en-CA"/>
        </w:rPr>
        <w:t>intensity</w:t>
      </w:r>
      <w:r w:rsidR="000434BE">
        <w:rPr>
          <w:lang w:eastAsia="en-CA"/>
        </w:rPr>
        <w:t>, benefitting the university as a whole.</w:t>
      </w:r>
      <w:r>
        <w:rPr>
          <w:lang w:eastAsia="en-CA"/>
        </w:rPr>
        <w:t xml:space="preserve"> </w:t>
      </w:r>
      <w:r w:rsidR="004B53CF">
        <w:rPr>
          <w:lang w:eastAsia="en-CA"/>
        </w:rPr>
        <w:t>F</w:t>
      </w:r>
      <w:r w:rsidR="0080449A">
        <w:rPr>
          <w:lang w:eastAsia="en-CA"/>
        </w:rPr>
        <w:t>aculty</w:t>
      </w:r>
      <w:r>
        <w:rPr>
          <w:lang w:eastAsia="en-CA"/>
        </w:rPr>
        <w:t xml:space="preserve"> </w:t>
      </w:r>
      <w:r>
        <w:rPr>
          <w:lang w:eastAsia="en-CA"/>
        </w:rPr>
        <w:lastRenderedPageBreak/>
        <w:t xml:space="preserve">members </w:t>
      </w:r>
      <w:r w:rsidR="004B53CF">
        <w:rPr>
          <w:lang w:eastAsia="en-CA"/>
        </w:rPr>
        <w:t xml:space="preserve">will also be </w:t>
      </w:r>
      <w:r>
        <w:rPr>
          <w:lang w:eastAsia="en-CA"/>
        </w:rPr>
        <w:t xml:space="preserve">encouraged to </w:t>
      </w:r>
      <w:r w:rsidR="0080449A">
        <w:rPr>
          <w:lang w:eastAsia="en-CA"/>
        </w:rPr>
        <w:t xml:space="preserve">continue to </w:t>
      </w:r>
      <w:r>
        <w:rPr>
          <w:lang w:eastAsia="en-CA"/>
        </w:rPr>
        <w:t>cultivate</w:t>
      </w:r>
      <w:r w:rsidRPr="008E39C9">
        <w:rPr>
          <w:lang w:eastAsia="en-CA"/>
        </w:rPr>
        <w:t xml:space="preserve"> </w:t>
      </w:r>
      <w:r>
        <w:rPr>
          <w:lang w:eastAsia="en-CA"/>
        </w:rPr>
        <w:t xml:space="preserve">and expand </w:t>
      </w:r>
      <w:r w:rsidRPr="008E39C9">
        <w:rPr>
          <w:lang w:eastAsia="en-CA"/>
        </w:rPr>
        <w:t>external co</w:t>
      </w:r>
      <w:r w:rsidR="00705941">
        <w:rPr>
          <w:lang w:eastAsia="en-CA"/>
        </w:rPr>
        <w:t>nnections in support of Ryerson’</w:t>
      </w:r>
      <w:r w:rsidRPr="008E39C9">
        <w:rPr>
          <w:lang w:eastAsia="en-CA"/>
        </w:rPr>
        <w:t xml:space="preserve">s educational </w:t>
      </w:r>
      <w:r w:rsidR="004B53CF">
        <w:rPr>
          <w:lang w:eastAsia="en-CA"/>
        </w:rPr>
        <w:t xml:space="preserve">and SRC </w:t>
      </w:r>
      <w:r w:rsidRPr="008E39C9">
        <w:rPr>
          <w:lang w:eastAsia="en-CA"/>
        </w:rPr>
        <w:t xml:space="preserve">mandate. </w:t>
      </w:r>
    </w:p>
    <w:p w:rsidR="00A448F0" w:rsidRDefault="00A448F0" w:rsidP="0009034D">
      <w:pPr>
        <w:rPr>
          <w:lang w:eastAsia="en-CA"/>
        </w:rPr>
      </w:pPr>
      <w:r>
        <w:rPr>
          <w:lang w:eastAsia="en-CA"/>
        </w:rPr>
        <w:t>Ryerson’s library pla</w:t>
      </w:r>
      <w:r w:rsidR="00DA028D">
        <w:rPr>
          <w:lang w:eastAsia="en-CA"/>
        </w:rPr>
        <w:t>y</w:t>
      </w:r>
      <w:r>
        <w:rPr>
          <w:lang w:eastAsia="en-CA"/>
        </w:rPr>
        <w:t xml:space="preserve">s a foundational role in connecting students, faculty and staff from across disciplines, and </w:t>
      </w:r>
      <w:r w:rsidR="00B10F96">
        <w:rPr>
          <w:lang w:eastAsia="en-CA"/>
        </w:rPr>
        <w:t xml:space="preserve">has long been a partner in student success and engagement, knowledge creation and dissemination, and </w:t>
      </w:r>
      <w:r w:rsidR="00A17EFE">
        <w:rPr>
          <w:lang w:eastAsia="en-CA"/>
        </w:rPr>
        <w:t>technology-</w:t>
      </w:r>
      <w:r w:rsidR="00B10F96">
        <w:rPr>
          <w:lang w:eastAsia="en-CA"/>
        </w:rPr>
        <w:t>e</w:t>
      </w:r>
      <w:r w:rsidR="00705332">
        <w:rPr>
          <w:lang w:eastAsia="en-CA"/>
        </w:rPr>
        <w:t>nhanced</w:t>
      </w:r>
      <w:r w:rsidR="00B10F96">
        <w:rPr>
          <w:lang w:eastAsia="en-CA"/>
        </w:rPr>
        <w:t xml:space="preserve"> learning. </w:t>
      </w:r>
      <w:r w:rsidR="007A6799">
        <w:rPr>
          <w:lang w:eastAsia="en-CA"/>
        </w:rPr>
        <w:t>T</w:t>
      </w:r>
      <w:r w:rsidR="00FF3174" w:rsidRPr="00FF3174">
        <w:rPr>
          <w:lang w:eastAsia="en-CA"/>
        </w:rPr>
        <w:t xml:space="preserve">he Student Learning Centre will </w:t>
      </w:r>
      <w:r w:rsidR="007A6799">
        <w:rPr>
          <w:lang w:eastAsia="en-CA"/>
        </w:rPr>
        <w:t>provide</w:t>
      </w:r>
      <w:r w:rsidR="00FF3174" w:rsidRPr="00FF3174">
        <w:rPr>
          <w:lang w:eastAsia="en-CA"/>
        </w:rPr>
        <w:t xml:space="preserve"> the library </w:t>
      </w:r>
      <w:r w:rsidR="007A6799">
        <w:rPr>
          <w:lang w:eastAsia="en-CA"/>
        </w:rPr>
        <w:t>with new spaces and modalities for</w:t>
      </w:r>
      <w:r w:rsidR="007A6799" w:rsidRPr="00FF3174">
        <w:rPr>
          <w:lang w:eastAsia="en-CA"/>
        </w:rPr>
        <w:t xml:space="preserve"> collaborat</w:t>
      </w:r>
      <w:r w:rsidR="007A6799">
        <w:rPr>
          <w:lang w:eastAsia="en-CA"/>
        </w:rPr>
        <w:t>ion</w:t>
      </w:r>
      <w:r w:rsidR="00FF3174" w:rsidRPr="00FF3174">
        <w:rPr>
          <w:lang w:eastAsia="en-CA"/>
        </w:rPr>
        <w:t xml:space="preserve"> with academic partners to deliver innovative services that encourage productive multidisciplinary </w:t>
      </w:r>
      <w:r w:rsidR="00013CA1">
        <w:rPr>
          <w:lang w:eastAsia="en-CA"/>
        </w:rPr>
        <w:t>interactions</w:t>
      </w:r>
      <w:r w:rsidR="00FF3174">
        <w:rPr>
          <w:lang w:eastAsia="en-CA"/>
        </w:rPr>
        <w:t>, and intensify students’</w:t>
      </w:r>
      <w:r w:rsidR="00FF3174" w:rsidRPr="00FF3174">
        <w:rPr>
          <w:lang w:eastAsia="en-CA"/>
        </w:rPr>
        <w:t xml:space="preserve"> out-of-class learning experience</w:t>
      </w:r>
      <w:r w:rsidR="007240EA">
        <w:rPr>
          <w:lang w:eastAsia="en-CA"/>
        </w:rPr>
        <w:t>s</w:t>
      </w:r>
      <w:r w:rsidR="00FF3174" w:rsidRPr="00FF3174">
        <w:rPr>
          <w:lang w:eastAsia="en-CA"/>
        </w:rPr>
        <w:t>.</w:t>
      </w:r>
      <w:r w:rsidR="00B10F96">
        <w:rPr>
          <w:lang w:eastAsia="en-CA"/>
        </w:rPr>
        <w:t xml:space="preserve"> </w:t>
      </w:r>
      <w:r>
        <w:rPr>
          <w:lang w:eastAsia="en-CA"/>
        </w:rPr>
        <w:t xml:space="preserve"> </w:t>
      </w:r>
    </w:p>
    <w:p w:rsidR="0009034D" w:rsidRPr="00AD3E7F" w:rsidRDefault="0009034D" w:rsidP="00B10F96">
      <w:pPr>
        <w:pBdr>
          <w:top w:val="dashSmallGap" w:sz="4" w:space="12" w:color="auto"/>
        </w:pBdr>
        <w:rPr>
          <w:b/>
          <w:lang w:eastAsia="en-CA"/>
        </w:rPr>
      </w:pPr>
      <w:r w:rsidRPr="00AD3E7F">
        <w:rPr>
          <w:b/>
          <w:lang w:eastAsia="en-CA"/>
        </w:rPr>
        <w:t>STRATEGIES</w:t>
      </w:r>
    </w:p>
    <w:p w:rsidR="00DA4E0A" w:rsidRDefault="0009034D" w:rsidP="00DA4E0A">
      <w:pPr>
        <w:pStyle w:val="ListParagraph"/>
        <w:numPr>
          <w:ilvl w:val="0"/>
          <w:numId w:val="3"/>
        </w:numPr>
        <w:contextualSpacing w:val="0"/>
        <w:rPr>
          <w:b/>
          <w:lang w:eastAsia="en-CA"/>
        </w:rPr>
      </w:pPr>
      <w:r w:rsidRPr="00AD3E7F">
        <w:rPr>
          <w:b/>
          <w:lang w:eastAsia="en-CA"/>
        </w:rPr>
        <w:t xml:space="preserve">Recognize high-quality teaching and provide opportunities for faculty, instructors, and teaching and graduate assistants to continually develop their teaching practices and skills, and encourage the use of new and diverse learning and teaching methods. </w:t>
      </w:r>
    </w:p>
    <w:p w:rsidR="0009034D" w:rsidRPr="00DA4E0A" w:rsidRDefault="0009034D" w:rsidP="00DA4E0A">
      <w:pPr>
        <w:pStyle w:val="ListParagraph"/>
        <w:numPr>
          <w:ilvl w:val="0"/>
          <w:numId w:val="3"/>
        </w:numPr>
        <w:contextualSpacing w:val="0"/>
        <w:rPr>
          <w:b/>
          <w:lang w:eastAsia="en-CA"/>
        </w:rPr>
      </w:pPr>
      <w:r w:rsidRPr="00DA4E0A">
        <w:rPr>
          <w:b/>
          <w:lang w:eastAsia="en-CA"/>
        </w:rPr>
        <w:t>Develop a university-wide blended e-learning strategy, which incorporates the principles of inclusive design and accessibility, in order to expand technology-enhanced and high-quality online offerings.</w:t>
      </w:r>
    </w:p>
    <w:p w:rsidR="00705941" w:rsidRPr="00AD3E7F" w:rsidRDefault="00705941" w:rsidP="00DA4E0A">
      <w:pPr>
        <w:pStyle w:val="ListParagraph"/>
        <w:numPr>
          <w:ilvl w:val="0"/>
          <w:numId w:val="3"/>
        </w:numPr>
        <w:contextualSpacing w:val="0"/>
        <w:rPr>
          <w:b/>
          <w:lang w:eastAsia="en-CA"/>
        </w:rPr>
      </w:pPr>
      <w:r w:rsidRPr="00AD3E7F">
        <w:rPr>
          <w:b/>
          <w:color w:val="000000"/>
          <w:lang w:eastAsia="en-CA"/>
        </w:rPr>
        <w:t xml:space="preserve">Encourage faculty to increasingly incorporate SRC activity into classroom learning, and </w:t>
      </w:r>
      <w:r w:rsidR="00AD7813">
        <w:rPr>
          <w:b/>
          <w:color w:val="000000"/>
          <w:lang w:eastAsia="en-CA"/>
        </w:rPr>
        <w:t xml:space="preserve">to </w:t>
      </w:r>
      <w:r w:rsidRPr="00AD3E7F">
        <w:rPr>
          <w:b/>
          <w:color w:val="000000"/>
          <w:lang w:eastAsia="en-CA"/>
        </w:rPr>
        <w:t xml:space="preserve">provide </w:t>
      </w:r>
      <w:r w:rsidR="00AF0794">
        <w:rPr>
          <w:b/>
          <w:color w:val="000000"/>
          <w:lang w:eastAsia="en-CA"/>
        </w:rPr>
        <w:t>greater</w:t>
      </w:r>
      <w:r w:rsidR="00AF0794" w:rsidRPr="00AD3E7F">
        <w:rPr>
          <w:b/>
          <w:color w:val="000000"/>
          <w:lang w:eastAsia="en-CA"/>
        </w:rPr>
        <w:t xml:space="preserve"> </w:t>
      </w:r>
      <w:r w:rsidRPr="00AD3E7F">
        <w:rPr>
          <w:b/>
          <w:color w:val="000000"/>
          <w:lang w:eastAsia="en-CA"/>
        </w:rPr>
        <w:t>opportunities for undergraduate and graduate student involvement with research.</w:t>
      </w:r>
    </w:p>
    <w:p w:rsidR="00B10F96" w:rsidRDefault="00280CA5" w:rsidP="00DA4E0A">
      <w:pPr>
        <w:pStyle w:val="ListParagraph"/>
        <w:numPr>
          <w:ilvl w:val="0"/>
          <w:numId w:val="3"/>
        </w:numPr>
        <w:pBdr>
          <w:bottom w:val="dashSmallGap" w:sz="4" w:space="1" w:color="auto"/>
        </w:pBdr>
        <w:contextualSpacing w:val="0"/>
        <w:rPr>
          <w:b/>
          <w:lang w:eastAsia="en-CA"/>
        </w:rPr>
      </w:pPr>
      <w:r w:rsidRPr="00FF3174">
        <w:rPr>
          <w:b/>
          <w:lang w:eastAsia="en-CA"/>
        </w:rPr>
        <w:t>Enhance the Library’</w:t>
      </w:r>
      <w:r w:rsidR="0009034D" w:rsidRPr="00FF3174">
        <w:rPr>
          <w:b/>
          <w:lang w:eastAsia="en-CA"/>
        </w:rPr>
        <w:t xml:space="preserve">s role as a provider of exceptional </w:t>
      </w:r>
      <w:r w:rsidR="00546FA3">
        <w:rPr>
          <w:b/>
          <w:lang w:eastAsia="en-CA"/>
        </w:rPr>
        <w:t xml:space="preserve">learning </w:t>
      </w:r>
      <w:r w:rsidR="0009034D" w:rsidRPr="00FF3174">
        <w:rPr>
          <w:b/>
          <w:lang w:eastAsia="en-CA"/>
        </w:rPr>
        <w:t>spaces</w:t>
      </w:r>
      <w:r w:rsidR="00546FA3">
        <w:rPr>
          <w:b/>
          <w:lang w:eastAsia="en-CA"/>
        </w:rPr>
        <w:t>, quality digital and physical collections, and innovative</w:t>
      </w:r>
      <w:r w:rsidR="0009034D" w:rsidRPr="00FF3174">
        <w:rPr>
          <w:b/>
          <w:lang w:eastAsia="en-CA"/>
        </w:rPr>
        <w:t xml:space="preserve"> services for teaching, learning, research and collaboration.</w:t>
      </w:r>
    </w:p>
    <w:p w:rsidR="007240EA" w:rsidRPr="007240EA" w:rsidRDefault="007240EA" w:rsidP="007240EA">
      <w:pPr>
        <w:pBdr>
          <w:bottom w:val="dashSmallGap" w:sz="4" w:space="1" w:color="auto"/>
        </w:pBdr>
        <w:ind w:left="360"/>
        <w:rPr>
          <w:b/>
          <w:lang w:eastAsia="en-CA"/>
        </w:rPr>
      </w:pPr>
    </w:p>
    <w:p w:rsidR="00B10F96" w:rsidRDefault="00B10F96" w:rsidP="00B10F96">
      <w:pPr>
        <w:pStyle w:val="PriorityTag"/>
        <w:rPr>
          <w:lang w:eastAsia="en-CA"/>
        </w:rPr>
      </w:pPr>
      <w:r>
        <w:rPr>
          <w:lang w:eastAsia="en-CA"/>
        </w:rPr>
        <w:t>GRADUATE EDUCATION</w:t>
      </w:r>
    </w:p>
    <w:p w:rsidR="004B53CF" w:rsidRDefault="00B10F96" w:rsidP="004B53CF">
      <w:bookmarkStart w:id="37" w:name="_Toc387410423"/>
      <w:r w:rsidRPr="00B10F96">
        <w:rPr>
          <w:rStyle w:val="Heading2Char"/>
        </w:rPr>
        <w:t xml:space="preserve">Ryerson will continue to </w:t>
      </w:r>
      <w:r>
        <w:rPr>
          <w:rStyle w:val="Heading2Char"/>
        </w:rPr>
        <w:t>strengthen</w:t>
      </w:r>
      <w:r w:rsidRPr="00B10F96">
        <w:rPr>
          <w:rStyle w:val="Heading2Char"/>
        </w:rPr>
        <w:t xml:space="preserve"> graduate education.</w:t>
      </w:r>
      <w:bookmarkEnd w:id="37"/>
      <w:r w:rsidRPr="00B10F96">
        <w:rPr>
          <w:rFonts w:eastAsia="Times New Roman"/>
          <w:lang w:eastAsia="en-CA"/>
        </w:rPr>
        <w:t xml:space="preserve"> </w:t>
      </w:r>
      <w:r w:rsidR="00DC5BCD">
        <w:rPr>
          <w:rFonts w:eastAsia="Times New Roman"/>
          <w:lang w:eastAsia="en-CA"/>
        </w:rPr>
        <w:t xml:space="preserve">In addition to the student-oriented strategies </w:t>
      </w:r>
      <w:r w:rsidRPr="00B10F96">
        <w:rPr>
          <w:rFonts w:eastAsia="Times New Roman"/>
          <w:lang w:eastAsia="en-CA"/>
        </w:rPr>
        <w:t>discussed above</w:t>
      </w:r>
      <w:r w:rsidR="00DC5BCD">
        <w:rPr>
          <w:rFonts w:eastAsia="Times New Roman"/>
          <w:lang w:eastAsia="en-CA"/>
        </w:rPr>
        <w:t xml:space="preserve">, which </w:t>
      </w:r>
      <w:r w:rsidRPr="00B10F96">
        <w:rPr>
          <w:rFonts w:eastAsia="Times New Roman"/>
          <w:lang w:eastAsia="en-CA"/>
        </w:rPr>
        <w:t xml:space="preserve">apply to graduate students as well as undergraduates, </w:t>
      </w:r>
      <w:r w:rsidR="00DC5BCD">
        <w:rPr>
          <w:rFonts w:eastAsia="Times New Roman"/>
          <w:lang w:eastAsia="en-CA"/>
        </w:rPr>
        <w:t>t</w:t>
      </w:r>
      <w:r w:rsidRPr="00B10F96">
        <w:t>he strategies described in this section are specifically designed to support the continued development, administration and delivery of graduate education, and enable the strategic expansion of master’s and PhD programs</w:t>
      </w:r>
      <w:r w:rsidR="00B679CE">
        <w:t xml:space="preserve"> to</w:t>
      </w:r>
      <w:r w:rsidRPr="00B10F96">
        <w:t xml:space="preserve"> meet demand for highly qualified personnel in the </w:t>
      </w:r>
      <w:r w:rsidR="004B53CF" w:rsidRPr="00B10F96">
        <w:t>private</w:t>
      </w:r>
      <w:r w:rsidR="00AD7813">
        <w:t xml:space="preserve">, </w:t>
      </w:r>
      <w:r w:rsidRPr="00B10F96">
        <w:t>public</w:t>
      </w:r>
      <w:r w:rsidR="00AD7813">
        <w:t xml:space="preserve"> and </w:t>
      </w:r>
      <w:r w:rsidR="00B54F3F">
        <w:t xml:space="preserve">not-for-profit </w:t>
      </w:r>
      <w:r w:rsidRPr="00B10F96">
        <w:t xml:space="preserve">sectors. </w:t>
      </w:r>
      <w:r w:rsidR="006F0969">
        <w:t>T</w:t>
      </w:r>
      <w:r w:rsidR="004D54CD">
        <w:t xml:space="preserve">here is </w:t>
      </w:r>
      <w:r w:rsidR="004D54CD" w:rsidRPr="00B10F96">
        <w:t>recognition that graduate education needs coordinated structures and a funding model that better support its delivery.</w:t>
      </w:r>
    </w:p>
    <w:p w:rsidR="00B10F96" w:rsidRPr="00B10F96" w:rsidRDefault="00B679CE" w:rsidP="004B53CF">
      <w:r>
        <w:lastRenderedPageBreak/>
        <w:t>G</w:t>
      </w:r>
      <w:r w:rsidR="00B10F96" w:rsidRPr="00B10F96">
        <w:t xml:space="preserve">raduate </w:t>
      </w:r>
      <w:r>
        <w:t xml:space="preserve">students </w:t>
      </w:r>
      <w:r w:rsidR="00915D71">
        <w:t>are enriched by their programs</w:t>
      </w:r>
      <w:r w:rsidR="002C37AB">
        <w:t>.</w:t>
      </w:r>
      <w:r w:rsidR="00915D71">
        <w:t xml:space="preserve"> </w:t>
      </w:r>
      <w:r w:rsidR="002C37AB">
        <w:t>T</w:t>
      </w:r>
      <w:r w:rsidR="00915D71">
        <w:t xml:space="preserve">hey </w:t>
      </w:r>
      <w:r w:rsidR="00B54F3F">
        <w:t>develop</w:t>
      </w:r>
      <w:r w:rsidR="00915D71">
        <w:t xml:space="preserve"> essential research </w:t>
      </w:r>
      <w:r w:rsidR="00B54F3F">
        <w:t xml:space="preserve">and professional </w:t>
      </w:r>
      <w:r w:rsidR="00915D71">
        <w:t>skills,</w:t>
      </w:r>
      <w:r>
        <w:t xml:space="preserve"> play an integral and vital role in faculty SRC activities and</w:t>
      </w:r>
      <w:r w:rsidR="00AD7813">
        <w:t>,</w:t>
      </w:r>
      <w:r>
        <w:t xml:space="preserve"> in turn, receive mentoring, supervision, training and support. As such, stronger linkages between graduate education and research are central to the long-term success and sustainability of a robust SRC culture at Ryerson. </w:t>
      </w:r>
    </w:p>
    <w:p w:rsidR="00B10F96" w:rsidRPr="00B10F96" w:rsidRDefault="00B10F96" w:rsidP="00B10F96">
      <w:pPr>
        <w:pBdr>
          <w:top w:val="dashSmallGap" w:sz="4" w:space="12" w:color="auto"/>
        </w:pBdr>
      </w:pPr>
      <w:r w:rsidRPr="00B10F96">
        <w:rPr>
          <w:b/>
          <w:lang w:eastAsia="en-CA"/>
        </w:rPr>
        <w:t>STRATEGIES</w:t>
      </w:r>
    </w:p>
    <w:p w:rsidR="00B10F96" w:rsidRPr="00B10F96" w:rsidRDefault="00B10F96" w:rsidP="00535D8E">
      <w:pPr>
        <w:pStyle w:val="ListParagraph"/>
        <w:numPr>
          <w:ilvl w:val="0"/>
          <w:numId w:val="3"/>
        </w:numPr>
        <w:contextualSpacing w:val="0"/>
        <w:rPr>
          <w:rFonts w:eastAsia="Times New Roman"/>
          <w:b/>
          <w:color w:val="000000"/>
          <w:lang w:eastAsia="en-CA"/>
        </w:rPr>
      </w:pPr>
      <w:r w:rsidRPr="00B10F96">
        <w:rPr>
          <w:rFonts w:eastAsia="Times New Roman"/>
          <w:b/>
          <w:color w:val="000000"/>
          <w:lang w:eastAsia="en-CA"/>
        </w:rPr>
        <w:t xml:space="preserve">Attract </w:t>
      </w:r>
      <w:r w:rsidR="006F0969">
        <w:rPr>
          <w:rFonts w:eastAsia="Times New Roman"/>
          <w:b/>
          <w:color w:val="000000"/>
          <w:lang w:eastAsia="en-CA"/>
        </w:rPr>
        <w:t xml:space="preserve">top </w:t>
      </w:r>
      <w:r w:rsidRPr="00B10F96">
        <w:rPr>
          <w:rFonts w:eastAsia="Times New Roman"/>
          <w:b/>
          <w:color w:val="000000"/>
          <w:lang w:eastAsia="en-CA"/>
        </w:rPr>
        <w:t>graduate students by developing a strategic approach to domestic and international recruitment, and fostering excellence in graduate student supervision.</w:t>
      </w:r>
    </w:p>
    <w:p w:rsidR="00B10F96" w:rsidRPr="00B10F96" w:rsidRDefault="00B10F96" w:rsidP="00535D8E">
      <w:pPr>
        <w:pStyle w:val="ListParagraph"/>
        <w:numPr>
          <w:ilvl w:val="0"/>
          <w:numId w:val="3"/>
        </w:numPr>
        <w:contextualSpacing w:val="0"/>
        <w:rPr>
          <w:rFonts w:eastAsia="Times New Roman"/>
          <w:b/>
          <w:color w:val="000000"/>
          <w:lang w:eastAsia="en-CA"/>
        </w:rPr>
      </w:pPr>
      <w:r w:rsidRPr="00B10F96">
        <w:rPr>
          <w:rFonts w:eastAsia="Times New Roman"/>
          <w:b/>
          <w:color w:val="000000"/>
          <w:lang w:eastAsia="en-CA"/>
        </w:rPr>
        <w:t>Strengthen graduate education by introducing a new funding allocation mechanism, identifying ways to improve the administration and delivery of graduate education, and implementing policies that support program quality and timely program completion.</w:t>
      </w:r>
    </w:p>
    <w:p w:rsidR="00B10F96" w:rsidRPr="00B10F96" w:rsidRDefault="004B5370" w:rsidP="00535D8E">
      <w:pPr>
        <w:pStyle w:val="ListParagraph"/>
        <w:numPr>
          <w:ilvl w:val="0"/>
          <w:numId w:val="3"/>
        </w:numPr>
        <w:contextualSpacing w:val="0"/>
        <w:rPr>
          <w:rFonts w:eastAsia="Times New Roman"/>
          <w:b/>
          <w:color w:val="000000"/>
          <w:lang w:eastAsia="en-CA"/>
        </w:rPr>
      </w:pPr>
      <w:r>
        <w:rPr>
          <w:rFonts w:eastAsia="Times New Roman"/>
          <w:b/>
          <w:color w:val="000000"/>
          <w:lang w:eastAsia="en-CA"/>
        </w:rPr>
        <w:t>C</w:t>
      </w:r>
      <w:r w:rsidR="00B10F96" w:rsidRPr="00B10F96">
        <w:rPr>
          <w:rFonts w:eastAsia="Times New Roman"/>
          <w:b/>
          <w:color w:val="000000"/>
          <w:lang w:eastAsia="en-CA"/>
        </w:rPr>
        <w:t xml:space="preserve">ontinue </w:t>
      </w:r>
      <w:proofErr w:type="gramStart"/>
      <w:r w:rsidR="00B10F96" w:rsidRPr="00B10F96">
        <w:rPr>
          <w:rFonts w:eastAsia="Times New Roman"/>
          <w:b/>
          <w:color w:val="000000"/>
          <w:lang w:eastAsia="en-CA"/>
        </w:rPr>
        <w:t>m</w:t>
      </w:r>
      <w:r w:rsidR="00280CA5">
        <w:rPr>
          <w:rFonts w:eastAsia="Times New Roman"/>
          <w:b/>
          <w:color w:val="000000"/>
          <w:lang w:eastAsia="en-CA"/>
        </w:rPr>
        <w:t>aster’</w:t>
      </w:r>
      <w:r w:rsidR="00B10F96" w:rsidRPr="00B10F96">
        <w:rPr>
          <w:rFonts w:eastAsia="Times New Roman"/>
          <w:b/>
          <w:color w:val="000000"/>
          <w:lang w:eastAsia="en-CA"/>
        </w:rPr>
        <w:t>s</w:t>
      </w:r>
      <w:proofErr w:type="gramEnd"/>
      <w:r w:rsidR="00B10F96" w:rsidRPr="00B10F96">
        <w:rPr>
          <w:rFonts w:eastAsia="Times New Roman"/>
          <w:b/>
          <w:color w:val="000000"/>
          <w:lang w:eastAsia="en-CA"/>
        </w:rPr>
        <w:t xml:space="preserve"> and doctoral program development</w:t>
      </w:r>
      <w:r>
        <w:rPr>
          <w:rFonts w:eastAsia="Times New Roman"/>
          <w:b/>
          <w:color w:val="000000"/>
          <w:lang w:eastAsia="en-CA"/>
        </w:rPr>
        <w:t xml:space="preserve"> subject to appropriate government funding</w:t>
      </w:r>
      <w:r w:rsidR="00B10F96" w:rsidRPr="00B10F96">
        <w:rPr>
          <w:rFonts w:eastAsia="Times New Roman"/>
          <w:b/>
          <w:color w:val="000000"/>
          <w:lang w:eastAsia="en-CA"/>
        </w:rPr>
        <w:t>.</w:t>
      </w:r>
    </w:p>
    <w:p w:rsidR="00900E1B" w:rsidRPr="005239B3" w:rsidRDefault="00900E1B" w:rsidP="00900E1B">
      <w:pPr>
        <w:pBdr>
          <w:bottom w:val="dashSmallGap" w:sz="4" w:space="1" w:color="auto"/>
        </w:pBdr>
        <w:rPr>
          <w:b/>
          <w:lang w:eastAsia="en-CA"/>
        </w:rPr>
      </w:pPr>
    </w:p>
    <w:p w:rsidR="00900E1B" w:rsidRDefault="00900E1B" w:rsidP="00900E1B">
      <w:pPr>
        <w:pStyle w:val="PriorityTag"/>
        <w:rPr>
          <w:lang w:eastAsia="en-CA"/>
        </w:rPr>
      </w:pPr>
      <w:r>
        <w:rPr>
          <w:lang w:eastAsia="en-CA"/>
        </w:rPr>
        <w:t>SRC ACTIVITIES</w:t>
      </w:r>
    </w:p>
    <w:p w:rsidR="00705332" w:rsidRDefault="00DA028D" w:rsidP="00900E1B">
      <w:bookmarkStart w:id="38" w:name="_Toc387410424"/>
      <w:r>
        <w:rPr>
          <w:rStyle w:val="Heading2Char"/>
        </w:rPr>
        <w:t>Ryerson</w:t>
      </w:r>
      <w:r w:rsidR="00900E1B" w:rsidRPr="00900E1B">
        <w:rPr>
          <w:rStyle w:val="Heading2Char"/>
        </w:rPr>
        <w:t xml:space="preserve"> will increase the excellence, intensity and impact of its SRC activities.</w:t>
      </w:r>
      <w:bookmarkEnd w:id="38"/>
      <w:r w:rsidR="002C16A1">
        <w:rPr>
          <w:lang w:eastAsia="en-CA"/>
        </w:rPr>
        <w:t xml:space="preserve"> </w:t>
      </w:r>
      <w:r w:rsidR="00900E1B" w:rsidRPr="00900E1B">
        <w:rPr>
          <w:lang w:eastAsia="en-CA"/>
        </w:rPr>
        <w:t xml:space="preserve">Ryerson’s SRC activity continues to gain momentum. </w:t>
      </w:r>
      <w:r w:rsidR="001564E4">
        <w:t>E</w:t>
      </w:r>
      <w:r w:rsidR="00226A87">
        <w:t xml:space="preserve">xternal </w:t>
      </w:r>
      <w:r w:rsidR="00900E1B" w:rsidRPr="00900E1B">
        <w:t>funding</w:t>
      </w:r>
      <w:r w:rsidR="00705332">
        <w:t xml:space="preserve"> doubled</w:t>
      </w:r>
      <w:r w:rsidR="00900E1B" w:rsidRPr="00900E1B">
        <w:t xml:space="preserve"> between 2008 and 2013 and </w:t>
      </w:r>
      <w:r w:rsidR="00705332">
        <w:t>Ryerson’s</w:t>
      </w:r>
      <w:r w:rsidR="00900E1B" w:rsidRPr="00900E1B">
        <w:t xml:space="preserve"> share of increasingly competitive Tri-Council funding</w:t>
      </w:r>
      <w:r w:rsidR="00705332">
        <w:t xml:space="preserve"> continues to grow</w:t>
      </w:r>
      <w:r w:rsidR="00900E1B" w:rsidRPr="00900E1B">
        <w:t xml:space="preserve">. </w:t>
      </w:r>
      <w:r w:rsidR="00705332">
        <w:t>Meanwhile</w:t>
      </w:r>
      <w:r w:rsidR="00900E1B" w:rsidRPr="00900E1B">
        <w:t xml:space="preserve">, the research landscape is changing. With increased attention being paid to Canada’s “innovation gap,” the focus on demonstrating the impact and relevance of university-based research is intensifying. External funding is shifting toward collaborative projects and moving away from traditional Tri-Council sources. </w:t>
      </w:r>
      <w:r w:rsidR="00705332">
        <w:t xml:space="preserve">As a result, the </w:t>
      </w:r>
      <w:r w:rsidR="00705332" w:rsidRPr="00900E1B">
        <w:t xml:space="preserve">internal administrative </w:t>
      </w:r>
      <w:r w:rsidR="00705332">
        <w:t xml:space="preserve">structures needed to </w:t>
      </w:r>
      <w:r w:rsidR="00705332" w:rsidRPr="00900E1B">
        <w:t xml:space="preserve">support SRC activity </w:t>
      </w:r>
      <w:r w:rsidR="00705332">
        <w:t>are changing</w:t>
      </w:r>
      <w:r w:rsidR="00705332" w:rsidRPr="00900E1B">
        <w:t>.</w:t>
      </w:r>
    </w:p>
    <w:p w:rsidR="00900E1B" w:rsidRDefault="00900E1B" w:rsidP="00900E1B">
      <w:pPr>
        <w:rPr>
          <w:lang w:eastAsia="en-CA"/>
        </w:rPr>
      </w:pPr>
      <w:r w:rsidRPr="00900E1B">
        <w:rPr>
          <w:lang w:eastAsia="en-CA"/>
        </w:rPr>
        <w:t xml:space="preserve">Sustaining the university’s research trajectory will require </w:t>
      </w:r>
      <w:r w:rsidR="009D1D33" w:rsidRPr="00B53AA1">
        <w:rPr>
          <w:lang w:eastAsia="en-CA"/>
        </w:rPr>
        <w:t xml:space="preserve">increased research intensity across all </w:t>
      </w:r>
      <w:r w:rsidR="00961E87">
        <w:rPr>
          <w:lang w:eastAsia="en-CA"/>
        </w:rPr>
        <w:t xml:space="preserve">disciplines. </w:t>
      </w:r>
      <w:r w:rsidRPr="00900E1B">
        <w:rPr>
          <w:lang w:eastAsia="en-CA"/>
        </w:rPr>
        <w:t>To increase intensity and advance excellence, the university will offer support to researchers at every stage of the process that take</w:t>
      </w:r>
      <w:r w:rsidR="00C600CB">
        <w:rPr>
          <w:lang w:eastAsia="en-CA"/>
        </w:rPr>
        <w:t>s into account</w:t>
      </w:r>
      <w:r w:rsidRPr="00900E1B">
        <w:rPr>
          <w:lang w:eastAsia="en-CA"/>
        </w:rPr>
        <w:t xml:space="preserve"> the changing </w:t>
      </w:r>
      <w:r w:rsidR="005744DE">
        <w:rPr>
          <w:lang w:eastAsia="en-CA"/>
        </w:rPr>
        <w:t xml:space="preserve">funding </w:t>
      </w:r>
      <w:r w:rsidRPr="00900E1B">
        <w:rPr>
          <w:lang w:eastAsia="en-CA"/>
        </w:rPr>
        <w:t xml:space="preserve">landscape. </w:t>
      </w:r>
    </w:p>
    <w:p w:rsidR="00900E1B" w:rsidRDefault="00900E1B" w:rsidP="00900E1B">
      <w:r w:rsidRPr="00900E1B">
        <w:t xml:space="preserve">Strengthening institutional supports for SRC activity and ingraining its importance in Ryerson’s culture at all levels is essential to the next stage of the university’s evolution. </w:t>
      </w:r>
      <w:r w:rsidR="00347755">
        <w:t>As such, t</w:t>
      </w:r>
      <w:r w:rsidRPr="00900E1B">
        <w:t xml:space="preserve">he university will endeavour to </w:t>
      </w:r>
      <w:r w:rsidR="000F442E">
        <w:t>streamline</w:t>
      </w:r>
      <w:r w:rsidR="000F442E" w:rsidRPr="00900E1B">
        <w:t xml:space="preserve"> </w:t>
      </w:r>
      <w:r w:rsidR="000F442E">
        <w:t xml:space="preserve">administrative </w:t>
      </w:r>
      <w:r w:rsidRPr="00900E1B">
        <w:t xml:space="preserve">structures, processes </w:t>
      </w:r>
      <w:r w:rsidRPr="00900E1B">
        <w:lastRenderedPageBreak/>
        <w:t>and resources</w:t>
      </w:r>
      <w:r w:rsidRPr="00900E1B">
        <w:rPr>
          <w:lang w:eastAsia="en-CA"/>
        </w:rPr>
        <w:t xml:space="preserve">. </w:t>
      </w:r>
      <w:r w:rsidR="00705332">
        <w:rPr>
          <w:lang w:eastAsia="en-CA"/>
        </w:rPr>
        <w:t>Recruiting efforts will focus on t</w:t>
      </w:r>
      <w:r w:rsidR="00705332" w:rsidRPr="00900E1B">
        <w:rPr>
          <w:lang w:eastAsia="en-CA"/>
        </w:rPr>
        <w:t xml:space="preserve">he </w:t>
      </w:r>
      <w:r w:rsidR="00705332" w:rsidRPr="00900E1B">
        <w:t>strategic hiring of research-intensive faculty</w:t>
      </w:r>
      <w:r w:rsidR="000F442E">
        <w:t xml:space="preserve"> </w:t>
      </w:r>
      <w:r w:rsidRPr="00900E1B">
        <w:t xml:space="preserve">and, as noted in the section on graduate education, efforts will be made to attract </w:t>
      </w:r>
      <w:r w:rsidR="00915D71">
        <w:t xml:space="preserve">additional </w:t>
      </w:r>
      <w:r w:rsidRPr="00900E1B">
        <w:t xml:space="preserve">high-quality graduate students who </w:t>
      </w:r>
      <w:r w:rsidR="00705332">
        <w:t xml:space="preserve">will </w:t>
      </w:r>
      <w:r w:rsidRPr="00900E1B">
        <w:t xml:space="preserve">broadly contribute to and support Ryerson’s growing SRC activity. </w:t>
      </w:r>
    </w:p>
    <w:p w:rsidR="00900E1B" w:rsidRPr="00900E1B" w:rsidRDefault="001564E4" w:rsidP="00900E1B">
      <w:r>
        <w:t>To achieve excellence, intensity and impact, t</w:t>
      </w:r>
      <w:r w:rsidRPr="00900E1B">
        <w:t xml:space="preserve">he </w:t>
      </w:r>
      <w:r w:rsidR="00900E1B" w:rsidRPr="00900E1B">
        <w:t>university will strengthen collaboration across the university and with partners on cross-disciplinary themes, including:</w:t>
      </w:r>
    </w:p>
    <w:p w:rsidR="00900E1B" w:rsidRPr="00900E1B" w:rsidRDefault="00900E1B" w:rsidP="00111721">
      <w:pPr>
        <w:pStyle w:val="ListParagraph"/>
        <w:numPr>
          <w:ilvl w:val="0"/>
          <w:numId w:val="4"/>
        </w:numPr>
      </w:pPr>
      <w:r w:rsidRPr="00900E1B">
        <w:t>Digital Media and Technology</w:t>
      </w:r>
    </w:p>
    <w:p w:rsidR="00900E1B" w:rsidRPr="00900E1B" w:rsidRDefault="00900E1B" w:rsidP="00111721">
      <w:pPr>
        <w:pStyle w:val="ListParagraph"/>
        <w:numPr>
          <w:ilvl w:val="0"/>
          <w:numId w:val="4"/>
        </w:numPr>
      </w:pPr>
      <w:r w:rsidRPr="00900E1B">
        <w:t>Energy and Sustainability</w:t>
      </w:r>
    </w:p>
    <w:p w:rsidR="00900E1B" w:rsidRPr="00900E1B" w:rsidRDefault="00900E1B" w:rsidP="00111721">
      <w:pPr>
        <w:pStyle w:val="ListParagraph"/>
        <w:numPr>
          <w:ilvl w:val="0"/>
          <w:numId w:val="4"/>
        </w:numPr>
      </w:pPr>
      <w:r w:rsidRPr="00900E1B">
        <w:t>Health and Well</w:t>
      </w:r>
      <w:r w:rsidR="00280CA5">
        <w:t>-</w:t>
      </w:r>
      <w:r w:rsidRPr="00900E1B">
        <w:t>being</w:t>
      </w:r>
    </w:p>
    <w:p w:rsidR="00900E1B" w:rsidRPr="00900E1B" w:rsidRDefault="00900E1B" w:rsidP="00111721">
      <w:pPr>
        <w:pStyle w:val="ListParagraph"/>
        <w:numPr>
          <w:ilvl w:val="0"/>
          <w:numId w:val="4"/>
        </w:numPr>
      </w:pPr>
      <w:r w:rsidRPr="00900E1B">
        <w:t>Technological and Industrial Innovation</w:t>
      </w:r>
    </w:p>
    <w:p w:rsidR="00900E1B" w:rsidRPr="00900E1B" w:rsidRDefault="00900E1B" w:rsidP="00111721">
      <w:pPr>
        <w:pStyle w:val="ListParagraph"/>
        <w:numPr>
          <w:ilvl w:val="0"/>
          <w:numId w:val="4"/>
        </w:numPr>
      </w:pPr>
      <w:r w:rsidRPr="00900E1B">
        <w:t>City Building and Social Justice</w:t>
      </w:r>
    </w:p>
    <w:p w:rsidR="00900E1B" w:rsidRPr="00900E1B" w:rsidRDefault="00900E1B" w:rsidP="00111721">
      <w:pPr>
        <w:pStyle w:val="ListParagraph"/>
        <w:numPr>
          <w:ilvl w:val="0"/>
          <w:numId w:val="4"/>
        </w:numPr>
      </w:pPr>
      <w:r w:rsidRPr="00900E1B">
        <w:t xml:space="preserve">Design, Culture, and Creative Industries </w:t>
      </w:r>
    </w:p>
    <w:p w:rsidR="00900E1B" w:rsidRPr="00900E1B" w:rsidRDefault="00900E1B" w:rsidP="00111721">
      <w:pPr>
        <w:pStyle w:val="ListParagraph"/>
        <w:numPr>
          <w:ilvl w:val="0"/>
          <w:numId w:val="4"/>
        </w:numPr>
      </w:pPr>
      <w:r w:rsidRPr="00900E1B">
        <w:t xml:space="preserve">Management, Entrepreneurship and Competitiveness </w:t>
      </w:r>
    </w:p>
    <w:p w:rsidR="00900E1B" w:rsidRPr="00900E1B" w:rsidRDefault="00900E1B" w:rsidP="00111721">
      <w:pPr>
        <w:pStyle w:val="ListParagraph"/>
        <w:numPr>
          <w:ilvl w:val="0"/>
          <w:numId w:val="4"/>
        </w:numPr>
      </w:pPr>
      <w:r w:rsidRPr="00900E1B">
        <w:t>Teaching and Learning for the New Economy</w:t>
      </w:r>
    </w:p>
    <w:p w:rsidR="00900E1B" w:rsidRPr="00900E1B" w:rsidRDefault="00705332" w:rsidP="00900E1B">
      <w:pPr>
        <w:rPr>
          <w:lang w:eastAsia="en-CA"/>
        </w:rPr>
      </w:pPr>
      <w:r>
        <w:rPr>
          <w:lang w:eastAsia="en-CA"/>
        </w:rPr>
        <w:t>Ryerson</w:t>
      </w:r>
      <w:r w:rsidR="00900E1B" w:rsidRPr="00900E1B">
        <w:rPr>
          <w:lang w:eastAsia="en-CA"/>
        </w:rPr>
        <w:t xml:space="preserve"> also aim</w:t>
      </w:r>
      <w:r w:rsidR="00347755">
        <w:rPr>
          <w:lang w:eastAsia="en-CA"/>
        </w:rPr>
        <w:t xml:space="preserve">s </w:t>
      </w:r>
      <w:r w:rsidR="00AD7813">
        <w:rPr>
          <w:lang w:eastAsia="en-CA"/>
        </w:rPr>
        <w:t xml:space="preserve">to </w:t>
      </w:r>
      <w:r w:rsidR="00900E1B" w:rsidRPr="00900E1B">
        <w:rPr>
          <w:lang w:eastAsia="en-CA"/>
        </w:rPr>
        <w:t xml:space="preserve">become a </w:t>
      </w:r>
      <w:r w:rsidR="00900E1B" w:rsidRPr="00900E1B">
        <w:t xml:space="preserve">leader in applied SRC </w:t>
      </w:r>
      <w:r w:rsidR="00AD7813">
        <w:t>activit</w:t>
      </w:r>
      <w:r w:rsidR="0041008B">
        <w:t>ies</w:t>
      </w:r>
      <w:r w:rsidR="00AD7813">
        <w:t xml:space="preserve"> </w:t>
      </w:r>
      <w:r w:rsidR="00900E1B" w:rsidRPr="00900E1B">
        <w:t xml:space="preserve">in collaboration with private- and public-sector partners. </w:t>
      </w:r>
      <w:r w:rsidR="00900E1B" w:rsidRPr="00900E1B">
        <w:rPr>
          <w:lang w:eastAsia="en-CA"/>
        </w:rPr>
        <w:t xml:space="preserve">To this end, the university will pursue </w:t>
      </w:r>
      <w:r w:rsidR="00900E1B" w:rsidRPr="00900E1B">
        <w:t xml:space="preserve">increased external funding and the continued development of collaborations with leading institutions domestically and internationally. </w:t>
      </w:r>
    </w:p>
    <w:p w:rsidR="00111721" w:rsidRDefault="00B960B4" w:rsidP="00900E1B">
      <w:pPr>
        <w:rPr>
          <w:lang w:eastAsia="en-CA"/>
        </w:rPr>
      </w:pPr>
      <w:r>
        <w:rPr>
          <w:lang w:eastAsia="en-CA"/>
        </w:rPr>
        <w:t xml:space="preserve">The success of Ryerson’s SRC agenda will </w:t>
      </w:r>
      <w:r w:rsidRPr="00900E1B">
        <w:rPr>
          <w:lang w:eastAsia="en-CA"/>
        </w:rPr>
        <w:t>improv</w:t>
      </w:r>
      <w:r>
        <w:rPr>
          <w:lang w:eastAsia="en-CA"/>
        </w:rPr>
        <w:t>e</w:t>
      </w:r>
      <w:r w:rsidRPr="00900E1B">
        <w:rPr>
          <w:lang w:eastAsia="en-CA"/>
        </w:rPr>
        <w:t xml:space="preserve"> its performance against standard research metrics such as publication and citation measures</w:t>
      </w:r>
      <w:r>
        <w:rPr>
          <w:lang w:eastAsia="en-CA"/>
        </w:rPr>
        <w:t>, strengthen its reputation,</w:t>
      </w:r>
      <w:r w:rsidRPr="00B960B4">
        <w:t xml:space="preserve"> </w:t>
      </w:r>
      <w:r w:rsidRPr="00900E1B">
        <w:t>attract additional research opportunities and talent</w:t>
      </w:r>
      <w:r>
        <w:rPr>
          <w:lang w:eastAsia="en-CA"/>
        </w:rPr>
        <w:t xml:space="preserve">, and perpetuate a culture of </w:t>
      </w:r>
      <w:proofErr w:type="spellStart"/>
      <w:r>
        <w:rPr>
          <w:lang w:eastAsia="en-CA"/>
        </w:rPr>
        <w:t>rigourous</w:t>
      </w:r>
      <w:proofErr w:type="spellEnd"/>
      <w:r>
        <w:rPr>
          <w:lang w:eastAsia="en-CA"/>
        </w:rPr>
        <w:t xml:space="preserve"> SRC activity.</w:t>
      </w:r>
      <w:r w:rsidRPr="00900E1B">
        <w:rPr>
          <w:lang w:eastAsia="en-CA"/>
        </w:rPr>
        <w:t xml:space="preserve"> </w:t>
      </w:r>
      <w:r>
        <w:rPr>
          <w:lang w:eastAsia="en-CA"/>
        </w:rPr>
        <w:t xml:space="preserve">The university will work to </w:t>
      </w:r>
      <w:r w:rsidR="009D1D33">
        <w:rPr>
          <w:lang w:eastAsia="en-CA"/>
        </w:rPr>
        <w:t xml:space="preserve">better </w:t>
      </w:r>
      <w:r>
        <w:rPr>
          <w:lang w:eastAsia="en-CA"/>
        </w:rPr>
        <w:t>d</w:t>
      </w:r>
      <w:r w:rsidRPr="00900E1B">
        <w:rPr>
          <w:lang w:eastAsia="en-CA"/>
        </w:rPr>
        <w:t>isseminat</w:t>
      </w:r>
      <w:r>
        <w:rPr>
          <w:lang w:eastAsia="en-CA"/>
        </w:rPr>
        <w:t>e</w:t>
      </w:r>
      <w:r w:rsidRPr="00900E1B">
        <w:rPr>
          <w:lang w:eastAsia="en-CA"/>
        </w:rPr>
        <w:t xml:space="preserve"> </w:t>
      </w:r>
      <w:r>
        <w:rPr>
          <w:lang w:eastAsia="en-CA"/>
        </w:rPr>
        <w:t xml:space="preserve">its </w:t>
      </w:r>
      <w:r w:rsidR="00900E1B" w:rsidRPr="00900E1B">
        <w:rPr>
          <w:lang w:eastAsia="en-CA"/>
        </w:rPr>
        <w:t xml:space="preserve">research </w:t>
      </w:r>
      <w:r w:rsidR="001564E4">
        <w:rPr>
          <w:lang w:eastAsia="en-CA"/>
        </w:rPr>
        <w:t xml:space="preserve">and creative </w:t>
      </w:r>
      <w:r>
        <w:rPr>
          <w:lang w:eastAsia="en-CA"/>
        </w:rPr>
        <w:t>successes and promote its contributions to society</w:t>
      </w:r>
      <w:r w:rsidR="00AC556C">
        <w:rPr>
          <w:lang w:eastAsia="en-CA"/>
        </w:rPr>
        <w:t>.</w:t>
      </w:r>
    </w:p>
    <w:p w:rsidR="00C600CB" w:rsidRPr="00B10F96" w:rsidRDefault="00C600CB" w:rsidP="00C600CB">
      <w:pPr>
        <w:pBdr>
          <w:top w:val="dashSmallGap" w:sz="4" w:space="12" w:color="auto"/>
        </w:pBdr>
      </w:pPr>
      <w:r w:rsidRPr="00B10F96">
        <w:rPr>
          <w:b/>
          <w:lang w:eastAsia="en-CA"/>
        </w:rPr>
        <w:t>STRATEGIES</w:t>
      </w:r>
    </w:p>
    <w:p w:rsidR="00900E1B" w:rsidRDefault="00900E1B" w:rsidP="00111721">
      <w:pPr>
        <w:pStyle w:val="ListParagraph"/>
        <w:numPr>
          <w:ilvl w:val="0"/>
          <w:numId w:val="3"/>
        </w:numPr>
        <w:contextualSpacing w:val="0"/>
        <w:rPr>
          <w:b/>
          <w:lang w:eastAsia="en-CA"/>
        </w:rPr>
      </w:pPr>
      <w:r w:rsidRPr="00C600CB">
        <w:rPr>
          <w:b/>
          <w:lang w:eastAsia="en-CA"/>
        </w:rPr>
        <w:t xml:space="preserve">Increase </w:t>
      </w:r>
      <w:r w:rsidR="006F3364">
        <w:rPr>
          <w:b/>
          <w:lang w:eastAsia="en-CA"/>
        </w:rPr>
        <w:t xml:space="preserve">SRC </w:t>
      </w:r>
      <w:r w:rsidRPr="00C600CB">
        <w:rPr>
          <w:b/>
          <w:lang w:eastAsia="en-CA"/>
        </w:rPr>
        <w:t>quality</w:t>
      </w:r>
      <w:r w:rsidR="00587849">
        <w:rPr>
          <w:b/>
          <w:lang w:eastAsia="en-CA"/>
        </w:rPr>
        <w:t>,</w:t>
      </w:r>
      <w:r w:rsidRPr="00C600CB">
        <w:rPr>
          <w:b/>
          <w:lang w:eastAsia="en-CA"/>
        </w:rPr>
        <w:t xml:space="preserve"> participation</w:t>
      </w:r>
      <w:r w:rsidR="00587849">
        <w:rPr>
          <w:b/>
          <w:lang w:eastAsia="en-CA"/>
        </w:rPr>
        <w:t xml:space="preserve"> and funding</w:t>
      </w:r>
      <w:r w:rsidRPr="00C600CB">
        <w:rPr>
          <w:b/>
          <w:lang w:eastAsia="en-CA"/>
        </w:rPr>
        <w:t xml:space="preserve"> by providing a range of supports suited to researchers at every stage of the research process and throughout their careers.</w:t>
      </w:r>
      <w:r w:rsidR="00587849">
        <w:rPr>
          <w:b/>
          <w:lang w:eastAsia="en-CA"/>
        </w:rPr>
        <w:t xml:space="preserve"> </w:t>
      </w:r>
    </w:p>
    <w:p w:rsidR="007240EA" w:rsidRPr="00C600CB" w:rsidRDefault="007240EA" w:rsidP="00111721">
      <w:pPr>
        <w:pStyle w:val="ListParagraph"/>
        <w:numPr>
          <w:ilvl w:val="0"/>
          <w:numId w:val="3"/>
        </w:numPr>
        <w:contextualSpacing w:val="0"/>
        <w:rPr>
          <w:b/>
          <w:lang w:eastAsia="en-CA"/>
        </w:rPr>
      </w:pPr>
      <w:r>
        <w:rPr>
          <w:b/>
          <w:lang w:eastAsia="en-CA"/>
        </w:rPr>
        <w:t xml:space="preserve">Streamline administrative structures, processes and resources to strengthen Ryerson’s research culture. </w:t>
      </w:r>
    </w:p>
    <w:p w:rsidR="00900E1B" w:rsidRPr="00C600CB" w:rsidRDefault="00900E1B" w:rsidP="00111721">
      <w:pPr>
        <w:pStyle w:val="ListParagraph"/>
        <w:numPr>
          <w:ilvl w:val="0"/>
          <w:numId w:val="3"/>
        </w:numPr>
        <w:contextualSpacing w:val="0"/>
        <w:rPr>
          <w:b/>
          <w:lang w:eastAsia="en-CA"/>
        </w:rPr>
      </w:pPr>
      <w:r w:rsidRPr="00C600CB">
        <w:rPr>
          <w:b/>
          <w:lang w:eastAsia="en-CA"/>
        </w:rPr>
        <w:t>Expand SRC partnerships and sponsored research with ind</w:t>
      </w:r>
      <w:r w:rsidR="007240EA">
        <w:rPr>
          <w:b/>
          <w:lang w:eastAsia="en-CA"/>
        </w:rPr>
        <w:t>ustry, government</w:t>
      </w:r>
      <w:r w:rsidRPr="00C600CB">
        <w:rPr>
          <w:b/>
          <w:lang w:eastAsia="en-CA"/>
        </w:rPr>
        <w:t xml:space="preserve"> and community organizations as well as other academic institutions, locally, nationally and internationally to drive innovation and </w:t>
      </w:r>
      <w:r w:rsidR="001A28DD">
        <w:rPr>
          <w:b/>
          <w:lang w:eastAsia="en-CA"/>
        </w:rPr>
        <w:t xml:space="preserve">to </w:t>
      </w:r>
      <w:r w:rsidRPr="00C600CB">
        <w:rPr>
          <w:b/>
          <w:lang w:eastAsia="en-CA"/>
        </w:rPr>
        <w:t>increase socio-economic impact</w:t>
      </w:r>
      <w:r w:rsidR="00111721">
        <w:rPr>
          <w:b/>
          <w:lang w:eastAsia="en-CA"/>
        </w:rPr>
        <w:t>s</w:t>
      </w:r>
      <w:r w:rsidRPr="00C600CB">
        <w:rPr>
          <w:b/>
          <w:lang w:eastAsia="en-CA"/>
        </w:rPr>
        <w:t>.</w:t>
      </w:r>
    </w:p>
    <w:p w:rsidR="00C600CB" w:rsidRDefault="00F60304" w:rsidP="00111721">
      <w:pPr>
        <w:pStyle w:val="ListParagraph"/>
        <w:numPr>
          <w:ilvl w:val="0"/>
          <w:numId w:val="3"/>
        </w:numPr>
        <w:contextualSpacing w:val="0"/>
        <w:rPr>
          <w:b/>
          <w:lang w:eastAsia="en-CA"/>
        </w:rPr>
      </w:pPr>
      <w:r>
        <w:rPr>
          <w:b/>
          <w:lang w:eastAsia="en-CA"/>
        </w:rPr>
        <w:lastRenderedPageBreak/>
        <w:t>Strengthen collaboration across the university and with partners</w:t>
      </w:r>
      <w:r w:rsidR="00900E1B" w:rsidRPr="00C600CB">
        <w:rPr>
          <w:b/>
          <w:lang w:eastAsia="en-CA"/>
        </w:rPr>
        <w:t xml:space="preserve"> </w:t>
      </w:r>
      <w:r>
        <w:rPr>
          <w:b/>
          <w:lang w:eastAsia="en-CA"/>
        </w:rPr>
        <w:t>on cross-disciplinary themes</w:t>
      </w:r>
      <w:r w:rsidRPr="00C600CB">
        <w:rPr>
          <w:b/>
          <w:lang w:eastAsia="en-CA"/>
        </w:rPr>
        <w:t xml:space="preserve"> </w:t>
      </w:r>
      <w:r>
        <w:rPr>
          <w:b/>
          <w:lang w:eastAsia="en-CA"/>
        </w:rPr>
        <w:t xml:space="preserve">by leveraging expertise across </w:t>
      </w:r>
      <w:r w:rsidR="00900E1B" w:rsidRPr="00C600CB">
        <w:rPr>
          <w:b/>
          <w:lang w:eastAsia="en-CA"/>
        </w:rPr>
        <w:t xml:space="preserve">disciplines to expand commercialization, knowledge translation and mobilization capacity of researchers and the university. </w:t>
      </w:r>
    </w:p>
    <w:p w:rsidR="00F60304" w:rsidRPr="00F60304" w:rsidRDefault="00900E1B" w:rsidP="00F60304">
      <w:pPr>
        <w:pStyle w:val="ListParagraph"/>
        <w:numPr>
          <w:ilvl w:val="0"/>
          <w:numId w:val="3"/>
        </w:numPr>
        <w:contextualSpacing w:val="0"/>
        <w:rPr>
          <w:b/>
          <w:lang w:eastAsia="en-CA"/>
        </w:rPr>
      </w:pPr>
      <w:r w:rsidRPr="00C600CB">
        <w:rPr>
          <w:b/>
          <w:lang w:eastAsia="en-CA"/>
        </w:rPr>
        <w:t xml:space="preserve">Support increased research dissemination through traditional and non-traditional channels, and publicize the SRC achievements of Ryerson faculty and students to further build reputation </w:t>
      </w:r>
      <w:r w:rsidR="00483E8D">
        <w:rPr>
          <w:b/>
          <w:lang w:eastAsia="en-CA"/>
        </w:rPr>
        <w:t xml:space="preserve">and </w:t>
      </w:r>
      <w:r w:rsidRPr="00C600CB">
        <w:rPr>
          <w:b/>
          <w:lang w:eastAsia="en-CA"/>
        </w:rPr>
        <w:t>attract high quality students, faculty and partners.</w:t>
      </w:r>
    </w:p>
    <w:p w:rsidR="00347755" w:rsidRPr="00347755" w:rsidRDefault="00347755" w:rsidP="00347755">
      <w:pPr>
        <w:pBdr>
          <w:bottom w:val="dashSmallGap" w:sz="4" w:space="1" w:color="auto"/>
        </w:pBdr>
        <w:rPr>
          <w:b/>
          <w:lang w:eastAsia="en-CA"/>
        </w:rPr>
      </w:pPr>
    </w:p>
    <w:p w:rsidR="00347755" w:rsidRDefault="00347755" w:rsidP="00347755">
      <w:pPr>
        <w:pStyle w:val="PriorityTag"/>
        <w:rPr>
          <w:lang w:eastAsia="en-CA"/>
        </w:rPr>
      </w:pPr>
      <w:r>
        <w:rPr>
          <w:lang w:eastAsia="en-CA"/>
        </w:rPr>
        <w:t>INNOVATION INITIATIVES</w:t>
      </w:r>
    </w:p>
    <w:p w:rsidR="00336FF1" w:rsidRPr="00336FF1" w:rsidRDefault="00336FF1" w:rsidP="00336FF1">
      <w:pPr>
        <w:rPr>
          <w:lang w:eastAsia="en-CA"/>
        </w:rPr>
      </w:pPr>
      <w:bookmarkStart w:id="39" w:name="_Toc387410425"/>
      <w:r w:rsidRPr="009C6E19">
        <w:rPr>
          <w:rStyle w:val="Heading2Char"/>
        </w:rPr>
        <w:t>Ryerson will</w:t>
      </w:r>
      <w:bookmarkEnd w:id="39"/>
      <w:r w:rsidRPr="009C6E19">
        <w:rPr>
          <w:rStyle w:val="Heading2Char"/>
        </w:rPr>
        <w:t xml:space="preserve"> </w:t>
      </w:r>
      <w:r w:rsidR="00632E95">
        <w:rPr>
          <w:b/>
          <w:sz w:val="28"/>
          <w:szCs w:val="28"/>
          <w:lang w:eastAsia="en-CA"/>
        </w:rPr>
        <w:t>build an innovation ecosystem where students, faculty and staff can connect with each other and with external partners to learn how to transform their ideas into practical innovations</w:t>
      </w:r>
      <w:r w:rsidR="002C5048" w:rsidRPr="005361AE">
        <w:rPr>
          <w:sz w:val="28"/>
          <w:szCs w:val="28"/>
          <w:lang w:eastAsia="en-CA"/>
        </w:rPr>
        <w:t>.</w:t>
      </w:r>
      <w:r w:rsidR="008C0B7D">
        <w:rPr>
          <w:lang w:eastAsia="en-CA"/>
        </w:rPr>
        <w:t xml:space="preserve"> This includes civic, cultural or social innovations</w:t>
      </w:r>
      <w:r w:rsidR="00D95FE1">
        <w:rPr>
          <w:lang w:eastAsia="en-CA"/>
        </w:rPr>
        <w:t xml:space="preserve"> </w:t>
      </w:r>
      <w:r w:rsidR="008C0B7D">
        <w:rPr>
          <w:lang w:eastAsia="en-CA"/>
        </w:rPr>
        <w:t>that enrich the fabric of society and improve quality of life, as well as i</w:t>
      </w:r>
      <w:r w:rsidR="00553D55">
        <w:rPr>
          <w:lang w:eastAsia="en-CA"/>
        </w:rPr>
        <w:t>nnovations that create new jobs</w:t>
      </w:r>
      <w:r w:rsidR="008C0B7D">
        <w:rPr>
          <w:lang w:eastAsia="en-CA"/>
        </w:rPr>
        <w:t xml:space="preserve"> and drive change.</w:t>
      </w:r>
    </w:p>
    <w:p w:rsidR="008C5BF9" w:rsidRDefault="00336FF1" w:rsidP="00336FF1">
      <w:r w:rsidRPr="00336FF1">
        <w:t>Innovation at Ryerson is fed by academic programs and SRC activity, more than 100 labs, institutes and research centres</w:t>
      </w:r>
      <w:r w:rsidR="008C0B7D">
        <w:t>,</w:t>
      </w:r>
      <w:r w:rsidRPr="00336FF1">
        <w:t xml:space="preserve"> and </w:t>
      </w:r>
      <w:r w:rsidR="00F64186">
        <w:t xml:space="preserve">its </w:t>
      </w:r>
      <w:r w:rsidR="001650F5">
        <w:t>pioneering</w:t>
      </w:r>
      <w:r w:rsidR="008C0B7D">
        <w:t xml:space="preserve"> </w:t>
      </w:r>
      <w:r w:rsidR="00F64186">
        <w:t>zone</w:t>
      </w:r>
      <w:r w:rsidR="008C0B7D">
        <w:t xml:space="preserve"> </w:t>
      </w:r>
      <w:r w:rsidR="001650F5">
        <w:t xml:space="preserve">learning </w:t>
      </w:r>
      <w:r w:rsidR="0041008B">
        <w:t>model</w:t>
      </w:r>
      <w:r w:rsidR="009C6E19">
        <w:t>,</w:t>
      </w:r>
      <w:r w:rsidR="00F64186">
        <w:t xml:space="preserve"> </w:t>
      </w:r>
      <w:r w:rsidR="001650F5">
        <w:t>which is help</w:t>
      </w:r>
      <w:r w:rsidR="009C6E19">
        <w:t>ing</w:t>
      </w:r>
      <w:r w:rsidR="001650F5">
        <w:t xml:space="preserve"> students </w:t>
      </w:r>
      <w:r w:rsidR="009C6E19">
        <w:t xml:space="preserve">to </w:t>
      </w:r>
      <w:r w:rsidR="001650F5">
        <w:t xml:space="preserve">become innovators, entrepreneurs and creative problem solvers. </w:t>
      </w:r>
      <w:r w:rsidR="008C0B7D">
        <w:t xml:space="preserve">The university will look for opportunities to increase the </w:t>
      </w:r>
      <w:r w:rsidRPr="00336FF1">
        <w:t xml:space="preserve">synergy </w:t>
      </w:r>
      <w:r w:rsidR="008413A9">
        <w:t>among</w:t>
      </w:r>
      <w:r w:rsidR="008C0B7D">
        <w:t xml:space="preserve"> these elements</w:t>
      </w:r>
      <w:r w:rsidRPr="00336FF1">
        <w:t xml:space="preserve"> in ways that accelerate </w:t>
      </w:r>
      <w:r w:rsidR="008C0B7D">
        <w:t>change</w:t>
      </w:r>
      <w:r w:rsidRPr="00336FF1">
        <w:t xml:space="preserve">, involve more </w:t>
      </w:r>
      <w:r w:rsidR="009C6E19">
        <w:t>stakeholders</w:t>
      </w:r>
      <w:r w:rsidRPr="00336FF1">
        <w:t xml:space="preserve">, and attract </w:t>
      </w:r>
      <w:r w:rsidR="008C0B7D">
        <w:t xml:space="preserve">leading community, industry and </w:t>
      </w:r>
      <w:r w:rsidRPr="00336FF1">
        <w:t>government</w:t>
      </w:r>
      <w:r w:rsidR="008C0B7D">
        <w:t xml:space="preserve"> </w:t>
      </w:r>
      <w:r w:rsidRPr="00336FF1">
        <w:t>partners.</w:t>
      </w:r>
    </w:p>
    <w:p w:rsidR="00336FF1" w:rsidRPr="00336FF1" w:rsidRDefault="00D95FE1" w:rsidP="00336FF1">
      <w:r>
        <w:t>Multidisciplinary z</w:t>
      </w:r>
      <w:r w:rsidR="001650F5">
        <w:t xml:space="preserve">ones will continue to be developed, </w:t>
      </w:r>
      <w:r w:rsidR="009C6E19">
        <w:t xml:space="preserve">with opportunities for students and faculty to work with </w:t>
      </w:r>
      <w:r>
        <w:t xml:space="preserve">entrepreneurs in residence, visiting fellows, industry partners and practitioners </w:t>
      </w:r>
      <w:r w:rsidR="009C6E19">
        <w:t>(</w:t>
      </w:r>
      <w:r>
        <w:t>including alumni</w:t>
      </w:r>
      <w:r w:rsidR="009C6E19">
        <w:t xml:space="preserve">). </w:t>
      </w:r>
      <w:r>
        <w:t>Zone learning’s ongoing</w:t>
      </w:r>
      <w:r w:rsidR="001650F5" w:rsidRPr="00336FF1">
        <w:t xml:space="preserve"> integrat</w:t>
      </w:r>
      <w:r>
        <w:t>ion</w:t>
      </w:r>
      <w:r w:rsidR="001650F5" w:rsidRPr="00336FF1">
        <w:t xml:space="preserve"> into programs </w:t>
      </w:r>
      <w:r w:rsidR="008C5BF9">
        <w:t>through the</w:t>
      </w:r>
      <w:r w:rsidR="001650F5" w:rsidRPr="00336FF1">
        <w:t xml:space="preserve"> optional specialization will allow students</w:t>
      </w:r>
      <w:r w:rsidR="008C5BF9">
        <w:t xml:space="preserve"> from </w:t>
      </w:r>
      <w:r w:rsidR="00483E8D">
        <w:t xml:space="preserve">a wide range of </w:t>
      </w:r>
      <w:r w:rsidR="008C5BF9">
        <w:t>disciplines</w:t>
      </w:r>
      <w:r w:rsidR="001650F5" w:rsidRPr="00336FF1">
        <w:t xml:space="preserve"> to participate. The university will </w:t>
      </w:r>
      <w:r w:rsidR="008C5BF9">
        <w:t xml:space="preserve">also </w:t>
      </w:r>
      <w:r w:rsidR="001650F5" w:rsidRPr="00336FF1">
        <w:t>seek to expand zone learning opportunities</w:t>
      </w:r>
      <w:r w:rsidR="00143E82">
        <w:t>, and other innovative and entrepreneurial activities</w:t>
      </w:r>
      <w:r w:rsidR="001650F5" w:rsidRPr="00336FF1">
        <w:t xml:space="preserve"> locally, natio</w:t>
      </w:r>
      <w:r w:rsidR="007240EA">
        <w:t>nally</w:t>
      </w:r>
      <w:r w:rsidR="001650F5" w:rsidRPr="00336FF1">
        <w:t xml:space="preserve"> and internationally.</w:t>
      </w:r>
      <w:r w:rsidDel="00D95FE1">
        <w:rPr>
          <w:rStyle w:val="CommentReference"/>
        </w:rPr>
        <w:t xml:space="preserve"> </w:t>
      </w:r>
    </w:p>
    <w:p w:rsidR="00336FF1" w:rsidRPr="00336FF1" w:rsidRDefault="00336FF1" w:rsidP="00336FF1">
      <w:pPr>
        <w:pBdr>
          <w:top w:val="dashSmallGap" w:sz="4" w:space="12" w:color="auto"/>
        </w:pBdr>
        <w:rPr>
          <w:lang w:eastAsia="en-CA"/>
        </w:rPr>
      </w:pPr>
      <w:r w:rsidRPr="00336FF1">
        <w:rPr>
          <w:b/>
          <w:lang w:eastAsia="en-CA"/>
        </w:rPr>
        <w:t>STRATEGIES</w:t>
      </w:r>
    </w:p>
    <w:p w:rsidR="00336FF1" w:rsidRPr="00336FF1" w:rsidRDefault="00336FF1" w:rsidP="00111721">
      <w:pPr>
        <w:pStyle w:val="ListParagraph"/>
        <w:numPr>
          <w:ilvl w:val="0"/>
          <w:numId w:val="3"/>
        </w:numPr>
        <w:contextualSpacing w:val="0"/>
        <w:rPr>
          <w:b/>
          <w:color w:val="000000"/>
          <w:lang w:eastAsia="en-CA"/>
        </w:rPr>
      </w:pPr>
      <w:r w:rsidRPr="00336FF1">
        <w:rPr>
          <w:b/>
          <w:color w:val="000000"/>
          <w:lang w:eastAsia="en-CA"/>
        </w:rPr>
        <w:t xml:space="preserve">Implement financially-sustainable mechanisms and initiatives to leverage and coordinate entrepreneurship </w:t>
      </w:r>
      <w:r w:rsidRPr="00553D55">
        <w:rPr>
          <w:b/>
          <w:lang w:eastAsia="en-CA"/>
        </w:rPr>
        <w:t>and innovation</w:t>
      </w:r>
      <w:r w:rsidR="009C6E19">
        <w:rPr>
          <w:b/>
          <w:color w:val="000000"/>
          <w:lang w:eastAsia="en-CA"/>
        </w:rPr>
        <w:t>-</w:t>
      </w:r>
      <w:r w:rsidRPr="00336FF1">
        <w:rPr>
          <w:b/>
          <w:color w:val="000000"/>
          <w:lang w:eastAsia="en-CA"/>
        </w:rPr>
        <w:t>building activities across the university, and provide structures, frameworks and collaborative spaces to permit and support multidisciplinary participation.</w:t>
      </w:r>
    </w:p>
    <w:p w:rsidR="00336FF1" w:rsidRPr="00336FF1" w:rsidRDefault="00336FF1" w:rsidP="00111721">
      <w:pPr>
        <w:pStyle w:val="ListParagraph"/>
        <w:numPr>
          <w:ilvl w:val="0"/>
          <w:numId w:val="3"/>
        </w:numPr>
        <w:contextualSpacing w:val="0"/>
        <w:rPr>
          <w:b/>
          <w:color w:val="000000"/>
          <w:lang w:eastAsia="en-CA"/>
        </w:rPr>
      </w:pPr>
      <w:r w:rsidRPr="00336FF1">
        <w:rPr>
          <w:b/>
          <w:color w:val="000000"/>
          <w:lang w:eastAsia="en-CA"/>
        </w:rPr>
        <w:lastRenderedPageBreak/>
        <w:t xml:space="preserve">Support and encourage entrepreneurship and innovation across a greater number of disciplines through new initiatives that will </w:t>
      </w:r>
      <w:r w:rsidR="00632033">
        <w:rPr>
          <w:b/>
          <w:color w:val="000000"/>
          <w:lang w:eastAsia="en-CA"/>
        </w:rPr>
        <w:t>complement</w:t>
      </w:r>
      <w:r w:rsidRPr="00336FF1">
        <w:rPr>
          <w:b/>
          <w:color w:val="000000"/>
          <w:lang w:eastAsia="en-CA"/>
        </w:rPr>
        <w:t xml:space="preserve"> the curriculum.</w:t>
      </w:r>
    </w:p>
    <w:p w:rsidR="008C5BF9" w:rsidRPr="00111721" w:rsidRDefault="00351527" w:rsidP="008C5BF9">
      <w:pPr>
        <w:pStyle w:val="ListParagraph"/>
        <w:numPr>
          <w:ilvl w:val="0"/>
          <w:numId w:val="3"/>
        </w:numPr>
        <w:pBdr>
          <w:bottom w:val="dashSmallGap" w:sz="4" w:space="1" w:color="auto"/>
        </w:pBdr>
        <w:contextualSpacing w:val="0"/>
        <w:rPr>
          <w:b/>
          <w:lang w:eastAsia="en-CA"/>
        </w:rPr>
      </w:pPr>
      <w:r w:rsidRPr="00111721">
        <w:rPr>
          <w:b/>
          <w:color w:val="000000"/>
          <w:lang w:eastAsia="en-CA"/>
        </w:rPr>
        <w:t>Develop and expand Ryerson’</w:t>
      </w:r>
      <w:r w:rsidR="00336FF1" w:rsidRPr="00111721">
        <w:rPr>
          <w:b/>
          <w:color w:val="000000"/>
          <w:lang w:eastAsia="en-CA"/>
        </w:rPr>
        <w:t>s experiential zone learning concept in a manner that encourages the participation of students and faculty from a greater number of disciplines.</w:t>
      </w:r>
    </w:p>
    <w:p w:rsidR="00111721" w:rsidRPr="00111721" w:rsidRDefault="00111721" w:rsidP="00111721">
      <w:pPr>
        <w:pBdr>
          <w:bottom w:val="dashSmallGap" w:sz="4" w:space="1" w:color="auto"/>
        </w:pBdr>
        <w:ind w:left="360"/>
        <w:rPr>
          <w:b/>
          <w:lang w:eastAsia="en-CA"/>
        </w:rPr>
      </w:pPr>
    </w:p>
    <w:p w:rsidR="008C5BF9" w:rsidRDefault="00DA028D" w:rsidP="008C5BF9">
      <w:pPr>
        <w:pStyle w:val="PriorityTag"/>
        <w:rPr>
          <w:lang w:eastAsia="en-CA"/>
        </w:rPr>
      </w:pPr>
      <w:r>
        <w:rPr>
          <w:lang w:eastAsia="en-CA"/>
        </w:rPr>
        <w:t>PARTNERSHIPS, COMMUNITY ENGAGEMENT AND CITY BUILDING</w:t>
      </w:r>
    </w:p>
    <w:p w:rsidR="00DA028D" w:rsidRPr="00DA028D" w:rsidRDefault="00DA028D" w:rsidP="00DA028D">
      <w:pPr>
        <w:rPr>
          <w:rFonts w:eastAsia="Times New Roman"/>
          <w:u w:val="single"/>
          <w:lang w:eastAsia="en-CA"/>
        </w:rPr>
      </w:pPr>
      <w:bookmarkStart w:id="40" w:name="_Toc387410426"/>
      <w:r w:rsidRPr="009339CF">
        <w:rPr>
          <w:rStyle w:val="Heading2Char"/>
        </w:rPr>
        <w:t xml:space="preserve">Ryerson will </w:t>
      </w:r>
      <w:r w:rsidR="009339CF" w:rsidRPr="009339CF">
        <w:rPr>
          <w:rStyle w:val="Heading2Char"/>
        </w:rPr>
        <w:t>s</w:t>
      </w:r>
      <w:r w:rsidRPr="009339CF">
        <w:rPr>
          <w:rStyle w:val="Heading2Char"/>
        </w:rPr>
        <w:t>eek expanded connections with external organizations and communities</w:t>
      </w:r>
      <w:r w:rsidR="009C6E19">
        <w:rPr>
          <w:rStyle w:val="Heading2Char"/>
        </w:rPr>
        <w:t>,</w:t>
      </w:r>
      <w:bookmarkEnd w:id="40"/>
      <w:r w:rsidR="009C6E19">
        <w:rPr>
          <w:rStyle w:val="Heading2Char"/>
        </w:rPr>
        <w:t xml:space="preserve"> </w:t>
      </w:r>
      <w:r w:rsidR="009C6E19">
        <w:t xml:space="preserve">enriching the university and </w:t>
      </w:r>
      <w:r w:rsidR="009C6E19" w:rsidRPr="009339CF">
        <w:t>enhanc</w:t>
      </w:r>
      <w:r w:rsidR="009C6E19">
        <w:t>ing</w:t>
      </w:r>
      <w:r w:rsidR="009C6E19" w:rsidRPr="009339CF">
        <w:t xml:space="preserve"> </w:t>
      </w:r>
      <w:r w:rsidRPr="009339CF">
        <w:t>the cultural and social well-being, and economic vitality of Toronto and beyond.</w:t>
      </w:r>
      <w:r w:rsidR="009339CF">
        <w:t xml:space="preserve"> </w:t>
      </w:r>
      <w:r w:rsidRPr="00DA028D">
        <w:rPr>
          <w:rFonts w:eastAsia="Times New Roman"/>
          <w:lang w:eastAsia="en-CA"/>
        </w:rPr>
        <w:t xml:space="preserve">The strategies below are intentionally broad to account for the wide-ranging benefits of community engagement. </w:t>
      </w:r>
    </w:p>
    <w:p w:rsidR="00DA028D" w:rsidRPr="00DA028D" w:rsidRDefault="00DA028D" w:rsidP="00DA028D">
      <w:pPr>
        <w:pStyle w:val="Heading3"/>
        <w:rPr>
          <w:lang w:eastAsia="en-CA"/>
        </w:rPr>
      </w:pPr>
      <w:bookmarkStart w:id="41" w:name="_Toc387410427"/>
      <w:bookmarkStart w:id="42" w:name="_Toc262221916"/>
      <w:r w:rsidRPr="00DA028D">
        <w:rPr>
          <w:lang w:eastAsia="en-CA"/>
        </w:rPr>
        <w:t>Culture of Philanthropy</w:t>
      </w:r>
      <w:bookmarkEnd w:id="41"/>
      <w:bookmarkEnd w:id="42"/>
    </w:p>
    <w:p w:rsidR="001540AC" w:rsidRPr="00DA028D" w:rsidRDefault="00483E8D" w:rsidP="00DA028D">
      <w:pPr>
        <w:rPr>
          <w:rFonts w:eastAsia="Times New Roman"/>
          <w:lang w:eastAsia="en-CA"/>
        </w:rPr>
      </w:pPr>
      <w:r w:rsidRPr="00DA028D">
        <w:t>Increased philanthropy is essential to the university’s ability to realize its ambitions. Donor support enhances the teaching and learning agenda</w:t>
      </w:r>
      <w:r>
        <w:t xml:space="preserve"> and faculty research</w:t>
      </w:r>
      <w:r w:rsidRPr="00DA028D">
        <w:t>, build</w:t>
      </w:r>
      <w:r>
        <w:t>s</w:t>
      </w:r>
      <w:r w:rsidRPr="00DA028D">
        <w:t xml:space="preserve"> and improve</w:t>
      </w:r>
      <w:r>
        <w:t>s</w:t>
      </w:r>
      <w:r w:rsidRPr="00DA028D">
        <w:t xml:space="preserve"> campus infrastructure, provides financial </w:t>
      </w:r>
      <w:r>
        <w:t>assistance</w:t>
      </w:r>
      <w:r w:rsidRPr="00DA028D">
        <w:t xml:space="preserve"> to students, </w:t>
      </w:r>
      <w:r>
        <w:t>and helps to build a strong varsity athletics program</w:t>
      </w:r>
      <w:r w:rsidRPr="00DA028D">
        <w:t xml:space="preserve">. </w:t>
      </w:r>
      <w:r w:rsidR="00DA028D" w:rsidRPr="00DA028D">
        <w:rPr>
          <w:rFonts w:eastAsia="Times New Roman"/>
          <w:color w:val="000000"/>
          <w:lang w:eastAsia="en-CA"/>
        </w:rPr>
        <w:t xml:space="preserve">Ryerson will work to foster a culture of philanthropy </w:t>
      </w:r>
      <w:r w:rsidR="00E11C7C">
        <w:rPr>
          <w:rFonts w:eastAsia="Times New Roman"/>
          <w:color w:val="000000"/>
          <w:lang w:eastAsia="en-CA"/>
        </w:rPr>
        <w:t>by</w:t>
      </w:r>
      <w:r w:rsidR="00DA028D" w:rsidRPr="00DA028D">
        <w:rPr>
          <w:rFonts w:eastAsia="Times New Roman"/>
          <w:lang w:eastAsia="en-CA"/>
        </w:rPr>
        <w:t xml:space="preserve"> expanding connections with alumni, individuals and external organizations, and involving them in the life of the university. </w:t>
      </w:r>
    </w:p>
    <w:p w:rsidR="00DA028D" w:rsidRDefault="00DA028D" w:rsidP="00DA028D">
      <w:r w:rsidRPr="00DA028D">
        <w:rPr>
          <w:rFonts w:eastAsia="Times New Roman"/>
          <w:color w:val="000000"/>
          <w:lang w:eastAsia="en-CA"/>
        </w:rPr>
        <w:t xml:space="preserve">Alumni are the university’s greatest accomplishment and </w:t>
      </w:r>
      <w:r w:rsidR="004A483A">
        <w:rPr>
          <w:rFonts w:eastAsia="Times New Roman"/>
          <w:color w:val="000000"/>
          <w:lang w:eastAsia="en-CA"/>
        </w:rPr>
        <w:t>act</w:t>
      </w:r>
      <w:r w:rsidRPr="00DA028D">
        <w:rPr>
          <w:rFonts w:eastAsia="Times New Roman"/>
          <w:color w:val="000000"/>
          <w:lang w:eastAsia="en-CA"/>
        </w:rPr>
        <w:t xml:space="preserve"> as ambassadors, mentors, and </w:t>
      </w:r>
      <w:r w:rsidR="004A483A">
        <w:rPr>
          <w:rFonts w:eastAsia="Times New Roman"/>
          <w:color w:val="000000"/>
          <w:lang w:eastAsia="en-CA"/>
        </w:rPr>
        <w:t>representatives in the community</w:t>
      </w:r>
      <w:r w:rsidRPr="00DA028D">
        <w:rPr>
          <w:rFonts w:eastAsia="Times New Roman"/>
          <w:color w:val="000000"/>
          <w:lang w:eastAsia="en-CA"/>
        </w:rPr>
        <w:t xml:space="preserve">. </w:t>
      </w:r>
      <w:r w:rsidR="004F792B">
        <w:rPr>
          <w:rFonts w:eastAsia="Times New Roman"/>
          <w:color w:val="000000"/>
          <w:lang w:eastAsia="en-CA"/>
        </w:rPr>
        <w:t>T</w:t>
      </w:r>
      <w:r w:rsidR="004F792B" w:rsidRPr="00DA028D">
        <w:rPr>
          <w:rFonts w:eastAsia="Times New Roman"/>
          <w:color w:val="000000"/>
          <w:lang w:eastAsia="en-CA"/>
        </w:rPr>
        <w:t xml:space="preserve">he </w:t>
      </w:r>
      <w:r w:rsidR="004F792B">
        <w:rPr>
          <w:rFonts w:eastAsia="Times New Roman"/>
          <w:color w:val="000000"/>
          <w:lang w:eastAsia="en-CA"/>
        </w:rPr>
        <w:t>process of</w:t>
      </w:r>
      <w:r w:rsidRPr="00DA028D">
        <w:rPr>
          <w:rFonts w:eastAsia="Times New Roman"/>
          <w:color w:val="000000"/>
          <w:lang w:eastAsia="en-CA"/>
        </w:rPr>
        <w:t xml:space="preserve"> building loyal and engaged alumni begins</w:t>
      </w:r>
      <w:r w:rsidR="004F792B">
        <w:rPr>
          <w:rFonts w:eastAsia="Times New Roman"/>
          <w:color w:val="000000"/>
          <w:lang w:eastAsia="en-CA"/>
        </w:rPr>
        <w:t xml:space="preserve"> with </w:t>
      </w:r>
      <w:r w:rsidR="004F792B" w:rsidRPr="00DA028D">
        <w:rPr>
          <w:rFonts w:eastAsia="Times New Roman"/>
          <w:color w:val="000000"/>
          <w:lang w:eastAsia="en-CA"/>
        </w:rPr>
        <w:t>exceptional student experiences and connect</w:t>
      </w:r>
      <w:r w:rsidR="004F792B">
        <w:rPr>
          <w:rFonts w:eastAsia="Times New Roman"/>
          <w:color w:val="000000"/>
          <w:lang w:eastAsia="en-CA"/>
        </w:rPr>
        <w:t>ions</w:t>
      </w:r>
      <w:r w:rsidR="004F792B" w:rsidRPr="00DA028D">
        <w:rPr>
          <w:rFonts w:eastAsia="Times New Roman"/>
          <w:color w:val="000000"/>
          <w:lang w:eastAsia="en-CA"/>
        </w:rPr>
        <w:t xml:space="preserve"> with programs, </w:t>
      </w:r>
      <w:r w:rsidR="004F792B" w:rsidRPr="00C71775">
        <w:rPr>
          <w:rFonts w:eastAsia="Times New Roman"/>
          <w:color w:val="000000"/>
          <w:lang w:eastAsia="en-CA"/>
        </w:rPr>
        <w:t xml:space="preserve">faculty and campus life. </w:t>
      </w:r>
      <w:r w:rsidR="006F3364" w:rsidRPr="00C71775">
        <w:t>Ryerson’</w:t>
      </w:r>
      <w:r w:rsidR="004F792B" w:rsidRPr="00C71775">
        <w:t>s students become graduates and alumni</w:t>
      </w:r>
      <w:r w:rsidRPr="00C71775">
        <w:t xml:space="preserve"> who are committed to the university and its success</w:t>
      </w:r>
      <w:r w:rsidR="00C71775" w:rsidRPr="00C71775">
        <w:t xml:space="preserve">, and </w:t>
      </w:r>
      <w:r w:rsidR="006F3364" w:rsidRPr="00C71775">
        <w:t>contribute to the university’</w:t>
      </w:r>
      <w:r w:rsidR="004F792B" w:rsidRPr="00C71775">
        <w:t>s reputation.</w:t>
      </w:r>
    </w:p>
    <w:p w:rsidR="00DA028D" w:rsidRPr="00DA028D" w:rsidRDefault="00DA028D" w:rsidP="00DA028D">
      <w:pPr>
        <w:pStyle w:val="Heading3"/>
        <w:rPr>
          <w:lang w:eastAsia="en-CA"/>
        </w:rPr>
      </w:pPr>
      <w:bookmarkStart w:id="43" w:name="_Toc387410428"/>
      <w:bookmarkStart w:id="44" w:name="_Toc262221917"/>
      <w:r w:rsidRPr="00DA028D">
        <w:rPr>
          <w:lang w:eastAsia="en-CA"/>
        </w:rPr>
        <w:t>Local engagement and city building</w:t>
      </w:r>
      <w:bookmarkEnd w:id="43"/>
      <w:bookmarkEnd w:id="44"/>
      <w:r w:rsidRPr="00DA028D">
        <w:rPr>
          <w:lang w:eastAsia="en-CA"/>
        </w:rPr>
        <w:t xml:space="preserve"> </w:t>
      </w:r>
    </w:p>
    <w:p w:rsidR="00DA028D" w:rsidRDefault="009C6E19" w:rsidP="00DA028D">
      <w:pPr>
        <w:rPr>
          <w:rFonts w:eastAsia="Times New Roman"/>
          <w:lang w:eastAsia="en-CA"/>
        </w:rPr>
      </w:pPr>
      <w:r>
        <w:rPr>
          <w:rFonts w:eastAsia="Times New Roman"/>
          <w:lang w:eastAsia="en-CA"/>
        </w:rPr>
        <w:t>Ryerson</w:t>
      </w:r>
      <w:r w:rsidR="00DA028D" w:rsidRPr="00DA028D">
        <w:rPr>
          <w:rFonts w:eastAsia="Times New Roman"/>
          <w:lang w:eastAsia="en-CA"/>
        </w:rPr>
        <w:t xml:space="preserve"> will expand its </w:t>
      </w:r>
      <w:r w:rsidR="00351527">
        <w:rPr>
          <w:rFonts w:eastAsia="Times New Roman"/>
          <w:lang w:eastAsia="en-CA"/>
        </w:rPr>
        <w:t xml:space="preserve">external </w:t>
      </w:r>
      <w:r w:rsidR="00DA028D" w:rsidRPr="00DA028D">
        <w:rPr>
          <w:rFonts w:eastAsia="Times New Roman"/>
          <w:lang w:eastAsia="en-CA"/>
        </w:rPr>
        <w:t>engagement</w:t>
      </w:r>
      <w:r w:rsidR="005361AE">
        <w:rPr>
          <w:rFonts w:eastAsia="Times New Roman"/>
          <w:lang w:eastAsia="en-CA"/>
        </w:rPr>
        <w:t xml:space="preserve">, including </w:t>
      </w:r>
      <w:r w:rsidR="00351527">
        <w:rPr>
          <w:rFonts w:eastAsia="Times New Roman"/>
          <w:lang w:eastAsia="en-CA"/>
        </w:rPr>
        <w:t xml:space="preserve">with </w:t>
      </w:r>
      <w:r w:rsidR="005361AE">
        <w:rPr>
          <w:rFonts w:eastAsia="Times New Roman"/>
          <w:lang w:eastAsia="en-CA"/>
        </w:rPr>
        <w:t>Aboriginal communities,</w:t>
      </w:r>
      <w:r w:rsidR="00DA028D" w:rsidRPr="00DA028D">
        <w:rPr>
          <w:rFonts w:eastAsia="Times New Roman"/>
          <w:lang w:eastAsia="en-CA"/>
        </w:rPr>
        <w:t xml:space="preserve"> and </w:t>
      </w:r>
      <w:r w:rsidR="00A74644">
        <w:rPr>
          <w:rFonts w:eastAsia="Times New Roman"/>
          <w:lang w:eastAsia="en-CA"/>
        </w:rPr>
        <w:t>develop a university-wide strategic community engagement and communications plan that values equity, diversity and inclusion</w:t>
      </w:r>
      <w:r w:rsidR="00396050">
        <w:rPr>
          <w:rFonts w:eastAsia="Times New Roman"/>
          <w:lang w:eastAsia="en-CA"/>
        </w:rPr>
        <w:t xml:space="preserve">; </w:t>
      </w:r>
      <w:r w:rsidR="00A74DF6">
        <w:rPr>
          <w:rFonts w:eastAsia="Times New Roman"/>
          <w:lang w:eastAsia="en-CA"/>
        </w:rPr>
        <w:t xml:space="preserve">is based on collaborative and mutually beneficial interactions; </w:t>
      </w:r>
      <w:r w:rsidR="00A74644">
        <w:rPr>
          <w:rFonts w:eastAsia="Times New Roman"/>
          <w:lang w:eastAsia="en-CA"/>
        </w:rPr>
        <w:t>leverages current engagement activity</w:t>
      </w:r>
      <w:r w:rsidR="00396050">
        <w:rPr>
          <w:rFonts w:eastAsia="Times New Roman"/>
          <w:lang w:eastAsia="en-CA"/>
        </w:rPr>
        <w:t>;</w:t>
      </w:r>
      <w:r w:rsidR="00A74644">
        <w:rPr>
          <w:rFonts w:eastAsia="Times New Roman"/>
          <w:lang w:eastAsia="en-CA"/>
        </w:rPr>
        <w:t xml:space="preserve"> and builds a more visible presence for Ryerson in particular communities. </w:t>
      </w:r>
      <w:r w:rsidR="00DA028D" w:rsidRPr="00DA028D">
        <w:rPr>
          <w:rFonts w:eastAsia="Times New Roman"/>
          <w:lang w:eastAsia="en-CA"/>
        </w:rPr>
        <w:t xml:space="preserve">This will allow the university community to better contribute its knowledge, advocate for positive social change and help to develop new opportunities for the city. </w:t>
      </w:r>
    </w:p>
    <w:p w:rsidR="001B1F61" w:rsidRDefault="00DA028D" w:rsidP="00DA028D">
      <w:r w:rsidRPr="00DA028D">
        <w:rPr>
          <w:rFonts w:eastAsia="Times New Roman"/>
          <w:lang w:eastAsia="en-CA"/>
        </w:rPr>
        <w:t xml:space="preserve">The university will reach out to the community in </w:t>
      </w:r>
      <w:r w:rsidR="009D1D33">
        <w:rPr>
          <w:rFonts w:eastAsia="Times New Roman"/>
          <w:lang w:eastAsia="en-CA"/>
        </w:rPr>
        <w:t>the GTA</w:t>
      </w:r>
      <w:r w:rsidR="00A74DF6">
        <w:rPr>
          <w:rFonts w:eastAsia="Times New Roman"/>
          <w:lang w:eastAsia="en-CA"/>
        </w:rPr>
        <w:t xml:space="preserve"> </w:t>
      </w:r>
      <w:r w:rsidRPr="00DA028D">
        <w:rPr>
          <w:rFonts w:eastAsia="Times New Roman"/>
          <w:lang w:eastAsia="en-CA"/>
        </w:rPr>
        <w:t xml:space="preserve">and beyond to </w:t>
      </w:r>
      <w:r w:rsidRPr="00DA028D">
        <w:rPr>
          <w:rFonts w:eastAsia="Times New Roman"/>
          <w:color w:val="000000"/>
          <w:lang w:eastAsia="en-CA"/>
        </w:rPr>
        <w:t xml:space="preserve">develop more extensive relationships with </w:t>
      </w:r>
      <w:r w:rsidR="00A74644">
        <w:rPr>
          <w:rFonts w:eastAsia="Times New Roman"/>
          <w:color w:val="000000"/>
          <w:lang w:eastAsia="en-CA"/>
        </w:rPr>
        <w:t xml:space="preserve">schools, community organizations, </w:t>
      </w:r>
      <w:r w:rsidRPr="00DA028D">
        <w:rPr>
          <w:rFonts w:eastAsia="Times New Roman"/>
          <w:color w:val="000000"/>
          <w:lang w:eastAsia="en-CA"/>
        </w:rPr>
        <w:t>industry</w:t>
      </w:r>
      <w:r w:rsidR="00A74644">
        <w:rPr>
          <w:rFonts w:eastAsia="Times New Roman"/>
          <w:color w:val="000000"/>
          <w:lang w:eastAsia="en-CA"/>
        </w:rPr>
        <w:t xml:space="preserve"> and</w:t>
      </w:r>
      <w:r w:rsidRPr="00DA028D">
        <w:rPr>
          <w:rFonts w:eastAsia="Times New Roman"/>
          <w:color w:val="000000"/>
          <w:lang w:eastAsia="en-CA"/>
        </w:rPr>
        <w:t xml:space="preserve"> employers </w:t>
      </w:r>
      <w:r w:rsidRPr="00DA028D">
        <w:rPr>
          <w:rFonts w:eastAsia="Times New Roman"/>
          <w:color w:val="000000"/>
          <w:lang w:eastAsia="en-CA"/>
        </w:rPr>
        <w:lastRenderedPageBreak/>
        <w:t>resulting in enhanced opportunities for interaction, collaboration and mentoring</w:t>
      </w:r>
      <w:r w:rsidR="00A74DF6">
        <w:rPr>
          <w:rFonts w:eastAsia="Times New Roman"/>
          <w:color w:val="000000"/>
          <w:lang w:eastAsia="en-CA"/>
        </w:rPr>
        <w:t xml:space="preserve"> in </w:t>
      </w:r>
      <w:r w:rsidR="00570136">
        <w:rPr>
          <w:rFonts w:eastAsia="Times New Roman"/>
          <w:color w:val="000000"/>
          <w:lang w:eastAsia="en-CA"/>
        </w:rPr>
        <w:t xml:space="preserve">programs </w:t>
      </w:r>
      <w:r w:rsidR="00A74DF6">
        <w:rPr>
          <w:rFonts w:eastAsia="Times New Roman"/>
          <w:color w:val="000000"/>
          <w:lang w:eastAsia="en-CA"/>
        </w:rPr>
        <w:t xml:space="preserve">and </w:t>
      </w:r>
      <w:r w:rsidR="00D51747">
        <w:rPr>
          <w:rFonts w:eastAsia="Times New Roman"/>
          <w:color w:val="000000"/>
          <w:lang w:eastAsia="en-CA"/>
        </w:rPr>
        <w:t xml:space="preserve">SRC </w:t>
      </w:r>
      <w:r w:rsidR="00570136">
        <w:rPr>
          <w:rFonts w:eastAsia="Times New Roman"/>
          <w:color w:val="000000"/>
          <w:lang w:eastAsia="en-CA"/>
        </w:rPr>
        <w:t>activities</w:t>
      </w:r>
      <w:r w:rsidRPr="00DA028D">
        <w:rPr>
          <w:rFonts w:eastAsia="Times New Roman"/>
          <w:color w:val="000000"/>
          <w:lang w:eastAsia="en-CA"/>
        </w:rPr>
        <w:t xml:space="preserve">. </w:t>
      </w:r>
      <w:r w:rsidRPr="00DA028D">
        <w:t>Ryerson’s downtown location is within easy reach of major institutions, industries, government, and community agencies</w:t>
      </w:r>
      <w:r w:rsidR="009C6E19">
        <w:t xml:space="preserve">. </w:t>
      </w:r>
      <w:r w:rsidR="003664B5">
        <w:t xml:space="preserve">This will allow </w:t>
      </w:r>
      <w:r w:rsidR="003664B5" w:rsidRPr="00DA028D">
        <w:t xml:space="preserve">the university </w:t>
      </w:r>
      <w:r w:rsidR="003664B5">
        <w:t>to</w:t>
      </w:r>
      <w:r w:rsidR="003664B5" w:rsidRPr="00DA028D">
        <w:t xml:space="preserve"> build more extensive </w:t>
      </w:r>
      <w:r w:rsidR="003664B5">
        <w:t xml:space="preserve">academic and SRC </w:t>
      </w:r>
      <w:r w:rsidR="003664B5" w:rsidRPr="00DA028D">
        <w:t>relationships</w:t>
      </w:r>
      <w:r w:rsidR="00396050">
        <w:t>,</w:t>
      </w:r>
      <w:r w:rsidR="003664B5" w:rsidRPr="00DA028D">
        <w:t xml:space="preserve"> and </w:t>
      </w:r>
      <w:r w:rsidR="00396050">
        <w:t>to</w:t>
      </w:r>
      <w:r w:rsidR="003664B5" w:rsidRPr="00DA028D">
        <w:t xml:space="preserve"> bring Toronto’s leaders into its classrooms and forums. </w:t>
      </w:r>
    </w:p>
    <w:p w:rsidR="00DA028D" w:rsidRPr="00DA028D" w:rsidRDefault="003664B5" w:rsidP="00DA028D">
      <w:pPr>
        <w:rPr>
          <w:rFonts w:eastAsia="Times New Roman"/>
          <w:color w:val="000000"/>
          <w:lang w:eastAsia="en-CA"/>
        </w:rPr>
      </w:pPr>
      <w:r>
        <w:t xml:space="preserve">Students, faculty and staff will be encouraged to participate in community, civic and volunteer activities to </w:t>
      </w:r>
      <w:r w:rsidRPr="00DA028D">
        <w:t xml:space="preserve">expand </w:t>
      </w:r>
      <w:r>
        <w:t xml:space="preserve">Ryerson’s </w:t>
      </w:r>
      <w:r w:rsidRPr="00DA028D">
        <w:t xml:space="preserve">positive influence </w:t>
      </w:r>
      <w:r w:rsidR="00DA028D" w:rsidRPr="00DA028D">
        <w:t>and impact on civic issues.</w:t>
      </w:r>
      <w:r w:rsidR="00DA028D" w:rsidRPr="00DA028D">
        <w:rPr>
          <w:rFonts w:eastAsia="Times New Roman"/>
          <w:lang w:eastAsia="en-CA"/>
        </w:rPr>
        <w:t xml:space="preserve"> </w:t>
      </w:r>
    </w:p>
    <w:p w:rsidR="00DA028D" w:rsidRPr="00DA028D" w:rsidRDefault="00DA028D" w:rsidP="00DA028D">
      <w:pPr>
        <w:pStyle w:val="Heading3"/>
        <w:rPr>
          <w:lang w:eastAsia="en-CA"/>
        </w:rPr>
      </w:pPr>
      <w:bookmarkStart w:id="45" w:name="_Toc387410429"/>
      <w:bookmarkStart w:id="46" w:name="_Toc262221918"/>
      <w:r w:rsidRPr="00DA028D">
        <w:rPr>
          <w:lang w:eastAsia="en-CA"/>
        </w:rPr>
        <w:t>International outreach and engagement</w:t>
      </w:r>
      <w:bookmarkEnd w:id="45"/>
      <w:bookmarkEnd w:id="46"/>
    </w:p>
    <w:p w:rsidR="00E11C7C" w:rsidRDefault="00E11C7C" w:rsidP="00DA028D">
      <w:r w:rsidRPr="00DA028D">
        <w:t>By servin</w:t>
      </w:r>
      <w:bookmarkStart w:id="47" w:name="_GoBack"/>
      <w:bookmarkEnd w:id="47"/>
      <w:r w:rsidRPr="00DA028D">
        <w:t>g as an academic partner to diverse organizations around the world, Ryerson can build its reputation as an organization that</w:t>
      </w:r>
      <w:r>
        <w:t xml:space="preserve"> attracts </w:t>
      </w:r>
      <w:r w:rsidRPr="00DA028D">
        <w:t xml:space="preserve">new talent, connections and opportunities </w:t>
      </w:r>
      <w:r w:rsidR="004F792B">
        <w:t xml:space="preserve">the GTA </w:t>
      </w:r>
      <w:r w:rsidR="003664B5">
        <w:t>through</w:t>
      </w:r>
      <w:r w:rsidR="00351527">
        <w:t xml:space="preserve"> its academic programs, </w:t>
      </w:r>
      <w:r w:rsidR="0060513D">
        <w:t>SRC activity</w:t>
      </w:r>
      <w:r w:rsidR="00351527">
        <w:t xml:space="preserve"> and innovation initiatives</w:t>
      </w:r>
      <w:r w:rsidR="0060513D">
        <w:t xml:space="preserve">. </w:t>
      </w:r>
      <w:r w:rsidR="00371774">
        <w:t xml:space="preserve">International </w:t>
      </w:r>
      <w:r>
        <w:t>partners</w:t>
      </w:r>
      <w:r w:rsidR="00371774">
        <w:t>hips</w:t>
      </w:r>
      <w:r>
        <w:t xml:space="preserve"> with academic institutions and organizations also enable</w:t>
      </w:r>
      <w:r w:rsidR="00371774">
        <w:t xml:space="preserve"> students and faculty to study and work abroad, deepening cross-cultural awareness and </w:t>
      </w:r>
      <w:r w:rsidR="00A822BA">
        <w:t>fostering</w:t>
      </w:r>
      <w:r w:rsidR="00540BB9">
        <w:t xml:space="preserve"> </w:t>
      </w:r>
      <w:r w:rsidR="00371774">
        <w:t>global perspectives.</w:t>
      </w:r>
      <w:r>
        <w:t xml:space="preserve"> </w:t>
      </w:r>
    </w:p>
    <w:p w:rsidR="00DA028D" w:rsidRDefault="00DA028D" w:rsidP="00DA028D">
      <w:r w:rsidRPr="00DA028D">
        <w:t xml:space="preserve">Through distance education and other innovative initiatives, Ryerson will reach out strategically to emerging markets and </w:t>
      </w:r>
      <w:r w:rsidR="003664B5">
        <w:t xml:space="preserve">developing </w:t>
      </w:r>
      <w:r w:rsidRPr="00DA028D">
        <w:t>societies</w:t>
      </w:r>
      <w:r w:rsidR="003664B5" w:rsidRPr="00DA028D">
        <w:t xml:space="preserve"> where students and faculty collaborate with their peers in devising solutions for </w:t>
      </w:r>
      <w:r w:rsidR="003664B5">
        <w:t xml:space="preserve">global </w:t>
      </w:r>
      <w:r w:rsidR="003664B5" w:rsidRPr="00DA028D">
        <w:t>challenges</w:t>
      </w:r>
      <w:r w:rsidRPr="00DA028D">
        <w:t xml:space="preserve">. The transition to a more global perspective can be assisted by technologies that bring international experts and issues into classrooms and labs, and </w:t>
      </w:r>
      <w:r w:rsidR="00396050">
        <w:t>through</w:t>
      </w:r>
      <w:r w:rsidRPr="00DA028D">
        <w:t xml:space="preserve"> partnerships with like-minded institutions around the world.</w:t>
      </w:r>
    </w:p>
    <w:p w:rsidR="00DA028D" w:rsidRPr="00DA028D" w:rsidRDefault="00DA028D" w:rsidP="00DA028D">
      <w:pPr>
        <w:pBdr>
          <w:top w:val="dashSmallGap" w:sz="4" w:space="12" w:color="auto"/>
        </w:pBdr>
        <w:rPr>
          <w:b/>
          <w:lang w:eastAsia="en-CA"/>
        </w:rPr>
      </w:pPr>
      <w:r w:rsidRPr="00DA028D">
        <w:rPr>
          <w:b/>
          <w:lang w:eastAsia="en-CA"/>
        </w:rPr>
        <w:t>STRATEGIES</w:t>
      </w:r>
    </w:p>
    <w:p w:rsidR="006F3364" w:rsidRDefault="00DA028D" w:rsidP="006F3364">
      <w:pPr>
        <w:pStyle w:val="ListParagraph"/>
        <w:numPr>
          <w:ilvl w:val="0"/>
          <w:numId w:val="3"/>
        </w:numPr>
        <w:contextualSpacing w:val="0"/>
        <w:rPr>
          <w:rFonts w:eastAsia="Times New Roman"/>
          <w:b/>
          <w:color w:val="000000"/>
          <w:lang w:eastAsia="en-CA"/>
        </w:rPr>
      </w:pPr>
      <w:r w:rsidRPr="00DA028D">
        <w:rPr>
          <w:rFonts w:eastAsia="Times New Roman"/>
          <w:b/>
          <w:color w:val="000000"/>
          <w:lang w:eastAsia="en-CA"/>
        </w:rPr>
        <w:t>Foster a culture of philanthrop</w:t>
      </w:r>
      <w:r w:rsidR="00E11C7C">
        <w:rPr>
          <w:rFonts w:eastAsia="Times New Roman"/>
          <w:b/>
          <w:color w:val="000000"/>
          <w:lang w:eastAsia="en-CA"/>
        </w:rPr>
        <w:t>y through all of the university’</w:t>
      </w:r>
      <w:r w:rsidRPr="00DA028D">
        <w:rPr>
          <w:rFonts w:eastAsia="Times New Roman"/>
          <w:b/>
          <w:color w:val="000000"/>
          <w:lang w:eastAsia="en-CA"/>
        </w:rPr>
        <w:t>s constituent communities, and seek increased engagement with donors to sup</w:t>
      </w:r>
      <w:r w:rsidR="00E11C7C">
        <w:rPr>
          <w:rFonts w:eastAsia="Times New Roman"/>
          <w:b/>
          <w:color w:val="000000"/>
          <w:lang w:eastAsia="en-CA"/>
        </w:rPr>
        <w:t>port and realize the university’</w:t>
      </w:r>
      <w:r w:rsidRPr="00DA028D">
        <w:rPr>
          <w:rFonts w:eastAsia="Times New Roman"/>
          <w:b/>
          <w:color w:val="000000"/>
          <w:lang w:eastAsia="en-CA"/>
        </w:rPr>
        <w:t>s priorities.</w:t>
      </w:r>
    </w:p>
    <w:p w:rsidR="002C5048" w:rsidRPr="006F3364" w:rsidRDefault="00DA028D" w:rsidP="006F3364">
      <w:pPr>
        <w:pStyle w:val="ListParagraph"/>
        <w:numPr>
          <w:ilvl w:val="0"/>
          <w:numId w:val="3"/>
        </w:numPr>
        <w:contextualSpacing w:val="0"/>
        <w:rPr>
          <w:rFonts w:eastAsia="Times New Roman"/>
          <w:b/>
          <w:color w:val="000000"/>
          <w:lang w:eastAsia="en-CA"/>
        </w:rPr>
      </w:pPr>
      <w:r w:rsidRPr="006F3364">
        <w:rPr>
          <w:rFonts w:eastAsia="Times New Roman"/>
          <w:b/>
          <w:color w:val="000000"/>
          <w:lang w:eastAsia="en-CA"/>
        </w:rPr>
        <w:t>Create transitional pathways leading current students to become engaged alumni who can remain involved in the university after graduation.</w:t>
      </w:r>
    </w:p>
    <w:p w:rsidR="00570136" w:rsidRPr="000A0B23" w:rsidRDefault="00570136" w:rsidP="006F3364">
      <w:pPr>
        <w:pStyle w:val="ListParagraph"/>
        <w:numPr>
          <w:ilvl w:val="0"/>
          <w:numId w:val="3"/>
        </w:numPr>
        <w:contextualSpacing w:val="0"/>
        <w:rPr>
          <w:rFonts w:eastAsia="Times New Roman"/>
          <w:b/>
          <w:color w:val="000000"/>
          <w:lang w:eastAsia="en-CA"/>
        </w:rPr>
      </w:pPr>
      <w:r>
        <w:rPr>
          <w:rFonts w:eastAsia="Times New Roman"/>
          <w:b/>
          <w:lang w:eastAsia="en-CA"/>
        </w:rPr>
        <w:t>C</w:t>
      </w:r>
      <w:r w:rsidRPr="00B56FED">
        <w:rPr>
          <w:rFonts w:eastAsia="Times New Roman"/>
          <w:b/>
          <w:lang w:eastAsia="en-CA"/>
        </w:rPr>
        <w:t xml:space="preserve">ultivate relationships with Aboriginal communities and students to create an educational environment that embraces and supports Aboriginal perspectives and experiences, and builds community for Aboriginal </w:t>
      </w:r>
      <w:r w:rsidR="00535D8E">
        <w:rPr>
          <w:rFonts w:eastAsia="Times New Roman"/>
          <w:b/>
          <w:lang w:eastAsia="en-CA"/>
        </w:rPr>
        <w:t>people</w:t>
      </w:r>
      <w:r w:rsidRPr="00B56FED">
        <w:rPr>
          <w:rFonts w:eastAsia="Times New Roman"/>
          <w:b/>
          <w:lang w:eastAsia="en-CA"/>
        </w:rPr>
        <w:t>.</w:t>
      </w:r>
    </w:p>
    <w:p w:rsidR="000A0B23" w:rsidRDefault="000A0B23" w:rsidP="006F1213">
      <w:pPr>
        <w:rPr>
          <w:lang w:eastAsia="en-CA"/>
        </w:rPr>
      </w:pPr>
    </w:p>
    <w:p w:rsidR="00237DA9" w:rsidRDefault="00237DA9" w:rsidP="006F3364">
      <w:pPr>
        <w:pStyle w:val="ListParagraph"/>
        <w:numPr>
          <w:ilvl w:val="0"/>
          <w:numId w:val="3"/>
        </w:numPr>
        <w:contextualSpacing w:val="0"/>
        <w:rPr>
          <w:rFonts w:eastAsia="Times New Roman"/>
          <w:b/>
          <w:lang w:eastAsia="en-CA"/>
        </w:rPr>
      </w:pPr>
      <w:r w:rsidRPr="00B56FED">
        <w:rPr>
          <w:rFonts w:eastAsia="Times New Roman"/>
          <w:b/>
          <w:lang w:eastAsia="en-CA"/>
        </w:rPr>
        <w:lastRenderedPageBreak/>
        <w:t>Develop a university-wide community engagement and communications strategy that values equity, diversity and inclusion</w:t>
      </w:r>
      <w:r>
        <w:rPr>
          <w:rFonts w:eastAsia="Times New Roman"/>
          <w:b/>
          <w:lang w:eastAsia="en-CA"/>
        </w:rPr>
        <w:t>;</w:t>
      </w:r>
      <w:r w:rsidRPr="00B56FED">
        <w:rPr>
          <w:rFonts w:eastAsia="Times New Roman"/>
          <w:b/>
          <w:lang w:eastAsia="en-CA"/>
        </w:rPr>
        <w:t xml:space="preserve"> leverages current engagement activity</w:t>
      </w:r>
      <w:r>
        <w:rPr>
          <w:rFonts w:eastAsia="Times New Roman"/>
          <w:b/>
          <w:lang w:eastAsia="en-CA"/>
        </w:rPr>
        <w:t>;</w:t>
      </w:r>
      <w:r w:rsidRPr="00B56FED">
        <w:rPr>
          <w:rFonts w:eastAsia="Times New Roman"/>
          <w:b/>
          <w:lang w:eastAsia="en-CA"/>
        </w:rPr>
        <w:t xml:space="preserve"> and builds a more visible Ryerson presence in particular communities.</w:t>
      </w:r>
    </w:p>
    <w:p w:rsidR="00B56FED" w:rsidRPr="00B56FED" w:rsidRDefault="00DA028D" w:rsidP="006F3364">
      <w:pPr>
        <w:pStyle w:val="ListParagraph"/>
        <w:numPr>
          <w:ilvl w:val="0"/>
          <w:numId w:val="3"/>
        </w:numPr>
        <w:contextualSpacing w:val="0"/>
        <w:rPr>
          <w:rFonts w:eastAsia="Times New Roman"/>
          <w:b/>
          <w:lang w:eastAsia="en-CA"/>
        </w:rPr>
      </w:pPr>
      <w:r w:rsidRPr="00DA028D">
        <w:rPr>
          <w:rFonts w:eastAsia="Times New Roman"/>
          <w:b/>
          <w:lang w:eastAsia="en-CA"/>
        </w:rPr>
        <w:t>Expand engagement with local, national and international external organizations to enrich student experiences and inclusion, increase civic engagement, and create valuable academic, research and innovation opportuni</w:t>
      </w:r>
      <w:r w:rsidR="00E11C7C">
        <w:rPr>
          <w:rFonts w:eastAsia="Times New Roman"/>
          <w:b/>
          <w:lang w:eastAsia="en-CA"/>
        </w:rPr>
        <w:t>ties that contribute to Ryerson’</w:t>
      </w:r>
      <w:r w:rsidRPr="00DA028D">
        <w:rPr>
          <w:rFonts w:eastAsia="Times New Roman"/>
          <w:b/>
          <w:lang w:eastAsia="en-CA"/>
        </w:rPr>
        <w:t>s profile and impact as a city-building university.</w:t>
      </w:r>
    </w:p>
    <w:p w:rsidR="009339CF" w:rsidRDefault="009339CF" w:rsidP="009339CF">
      <w:pPr>
        <w:pBdr>
          <w:bottom w:val="dashSmallGap" w:sz="4" w:space="1" w:color="auto"/>
        </w:pBdr>
        <w:rPr>
          <w:rFonts w:eastAsia="Times New Roman"/>
          <w:b/>
          <w:color w:val="000000"/>
          <w:lang w:eastAsia="en-CA"/>
        </w:rPr>
      </w:pPr>
    </w:p>
    <w:p w:rsidR="009339CF" w:rsidRPr="009339CF" w:rsidRDefault="009339CF" w:rsidP="009339CF">
      <w:pPr>
        <w:pBdr>
          <w:bottom w:val="dashSmallGap" w:sz="4" w:space="1" w:color="auto"/>
        </w:pBdr>
        <w:rPr>
          <w:rFonts w:eastAsia="Times New Roman"/>
          <w:b/>
          <w:color w:val="000000"/>
          <w:lang w:eastAsia="en-CA"/>
        </w:rPr>
        <w:sectPr w:rsidR="009339CF" w:rsidRPr="009339CF" w:rsidSect="00AC556C">
          <w:pgSz w:w="12240" w:h="15840"/>
          <w:pgMar w:top="1440" w:right="1440" w:bottom="540" w:left="1440" w:header="720" w:footer="854" w:gutter="0"/>
          <w:cols w:space="720"/>
          <w:docGrid w:linePitch="360"/>
        </w:sectPr>
      </w:pPr>
    </w:p>
    <w:p w:rsidR="00387742" w:rsidRDefault="00F664AE" w:rsidP="00F664AE">
      <w:pPr>
        <w:pStyle w:val="Heading1"/>
      </w:pPr>
      <w:bookmarkStart w:id="48" w:name="_Toc262221919"/>
      <w:r>
        <w:lastRenderedPageBreak/>
        <w:t>Measuring Success</w:t>
      </w:r>
      <w:bookmarkEnd w:id="48"/>
    </w:p>
    <w:p w:rsidR="004269CD" w:rsidRDefault="003F481A" w:rsidP="00F664AE">
      <w:r>
        <w:t xml:space="preserve">To support the </w:t>
      </w:r>
      <w:r w:rsidR="004269CD">
        <w:t xml:space="preserve">launch and ongoing </w:t>
      </w:r>
      <w:r>
        <w:t>implementation of</w:t>
      </w:r>
      <w:r w:rsidR="005F1CCD">
        <w:t xml:space="preserve"> the academic plan,</w:t>
      </w:r>
      <w:r>
        <w:t xml:space="preserve"> t</w:t>
      </w:r>
      <w:r w:rsidR="00582FC3">
        <w:t xml:space="preserve">he University Planning Office </w:t>
      </w:r>
      <w:r w:rsidR="00B7495B">
        <w:t xml:space="preserve">will </w:t>
      </w:r>
      <w:r>
        <w:t>develop metrics and performance indicators</w:t>
      </w:r>
      <w:r w:rsidR="003A781B">
        <w:t xml:space="preserve"> to </w:t>
      </w:r>
      <w:r>
        <w:t>help the university</w:t>
      </w:r>
      <w:r w:rsidR="00B7495B">
        <w:t xml:space="preserve"> and individual </w:t>
      </w:r>
      <w:r w:rsidR="00442399">
        <w:t>units</w:t>
      </w:r>
      <w:r>
        <w:t xml:space="preserve"> </w:t>
      </w:r>
      <w:r w:rsidR="003A781B">
        <w:t xml:space="preserve">measure </w:t>
      </w:r>
      <w:r w:rsidR="00B7495B">
        <w:t>their</w:t>
      </w:r>
      <w:r>
        <w:t xml:space="preserve"> </w:t>
      </w:r>
      <w:r w:rsidR="003A781B">
        <w:t>progress</w:t>
      </w:r>
      <w:r>
        <w:t xml:space="preserve"> in meeting the plan’s strategic priorities. </w:t>
      </w:r>
      <w:r w:rsidR="004269CD">
        <w:t xml:space="preserve"> </w:t>
      </w:r>
    </w:p>
    <w:p w:rsidR="00227502" w:rsidRDefault="004269CD" w:rsidP="00F664AE">
      <w:pPr>
        <w:sectPr w:rsidR="00227502" w:rsidSect="004B2B81">
          <w:pgSz w:w="12240" w:h="15840"/>
          <w:pgMar w:top="1440" w:right="1440" w:bottom="993" w:left="1440" w:header="720" w:footer="854" w:gutter="0"/>
          <w:cols w:space="720"/>
          <w:docGrid w:linePitch="360"/>
        </w:sectPr>
      </w:pPr>
      <w:r>
        <w:t xml:space="preserve">The indicators </w:t>
      </w:r>
      <w:r w:rsidR="00514065">
        <w:t xml:space="preserve">and metrics chosen will provide the flexibility to evolve over the life of the </w:t>
      </w:r>
      <w:r w:rsidR="0060513D">
        <w:t xml:space="preserve">plan. </w:t>
      </w:r>
      <w:r w:rsidR="00514065">
        <w:t xml:space="preserve">They </w:t>
      </w:r>
      <w:r>
        <w:t xml:space="preserve">will be shared with the community in a companion document. </w:t>
      </w:r>
      <w:r w:rsidR="0060513D">
        <w:t xml:space="preserve"> </w:t>
      </w:r>
      <w:r w:rsidR="00881D1F">
        <w:t>There will be an annual update on the progress of the plan, including high-level report</w:t>
      </w:r>
      <w:r w:rsidR="001E798F">
        <w:t>s</w:t>
      </w:r>
      <w:r w:rsidR="00881D1F">
        <w:t xml:space="preserve"> to the Senate and Board of Governors, which will require each unit to assess how successful they have been in meeting the university’s </w:t>
      </w:r>
      <w:r w:rsidR="00514065">
        <w:t xml:space="preserve">and their own </w:t>
      </w:r>
      <w:r w:rsidR="00881D1F">
        <w:t xml:space="preserve">strategic priorities. </w:t>
      </w:r>
      <w:r w:rsidR="00514065">
        <w:t xml:space="preserve">The </w:t>
      </w:r>
      <w:r w:rsidR="008413A9">
        <w:t xml:space="preserve">University </w:t>
      </w:r>
      <w:r w:rsidR="00514065">
        <w:t xml:space="preserve">Planning Office will support faculties, departments and schools, and other units in the development of their individual plans and </w:t>
      </w:r>
      <w:r w:rsidR="00881D1F">
        <w:t xml:space="preserve">will develop the tools and timelines for reporting on individual unit plans.  </w:t>
      </w:r>
    </w:p>
    <w:p w:rsidR="00227502" w:rsidRDefault="00227502" w:rsidP="00227502">
      <w:pPr>
        <w:pStyle w:val="Heading1"/>
      </w:pPr>
      <w:bookmarkStart w:id="49" w:name="_Toc262221920"/>
      <w:r>
        <w:lastRenderedPageBreak/>
        <w:t>Integrated Planning in Action</w:t>
      </w:r>
      <w:bookmarkEnd w:id="49"/>
    </w:p>
    <w:p w:rsidR="00227502" w:rsidRDefault="00227502" w:rsidP="00227502">
      <w:r w:rsidRPr="00223F64">
        <w:t>The university</w:t>
      </w:r>
      <w:r>
        <w:t xml:space="preserve"> leadership commits itself to an </w:t>
      </w:r>
      <w:r w:rsidRPr="00223F64">
        <w:t xml:space="preserve">environment of integrated planning that coordinates </w:t>
      </w:r>
      <w:r>
        <w:t xml:space="preserve">advancement efforts, </w:t>
      </w:r>
      <w:r w:rsidRPr="00223F64">
        <w:t xml:space="preserve">strategic research priorities, space allocation and building programs, human resources, and financial and other services in support of Ryerson’s academic mission. </w:t>
      </w:r>
      <w:r>
        <w:t xml:space="preserve">The strategies in the plan establish a general framework from which individual academic and administrative units build their own strategic or academic plans. It establishes </w:t>
      </w:r>
      <w:r w:rsidRPr="00223F64">
        <w:t>parameters for the many complementary planning exercises as well as those decision-making and priority-setting exercises that are essential in successful contemporary universities such as Ryerson.</w:t>
      </w:r>
    </w:p>
    <w:p w:rsidR="00227502" w:rsidRDefault="0045085B" w:rsidP="00227502">
      <w:pPr>
        <w:pStyle w:val="Heading3"/>
      </w:pPr>
      <w:bookmarkStart w:id="50" w:name="_Toc262221921"/>
      <w:r>
        <w:t>Next steps</w:t>
      </w:r>
      <w:bookmarkEnd w:id="50"/>
    </w:p>
    <w:p w:rsidR="00227502" w:rsidRDefault="00227502" w:rsidP="0045085B">
      <w:r>
        <w:t>All</w:t>
      </w:r>
      <w:r w:rsidR="0045085B">
        <w:t xml:space="preserve"> academic and administrative units </w:t>
      </w:r>
      <w:r>
        <w:t xml:space="preserve">will </w:t>
      </w:r>
      <w:r w:rsidRPr="00223F64">
        <w:t>prepare</w:t>
      </w:r>
      <w:r>
        <w:t xml:space="preserve"> or renew</w:t>
      </w:r>
      <w:r w:rsidRPr="00223F64">
        <w:t xml:space="preserve"> individual plans that support the university’s future direction set out in the academic plan. </w:t>
      </w:r>
      <w:r w:rsidR="0045085B">
        <w:t xml:space="preserve">Units </w:t>
      </w:r>
      <w:r w:rsidRPr="00223F64">
        <w:t xml:space="preserve">set goals and objectives for their respective areas and act on strategies contained in the academic plan that are relevant to them. Faculty and unit plans view the academic plan through the lens of local norms, culture and aspirations, take into account developmental plans that are part of the periodic program review process, and include strategic investment requests needed to implement new initiatives. </w:t>
      </w:r>
      <w:r>
        <w:t xml:space="preserve">The University Planning Office will develop tools and timelines for developing individual </w:t>
      </w:r>
      <w:r w:rsidR="0045085B">
        <w:t xml:space="preserve">academic </w:t>
      </w:r>
      <w:r>
        <w:t xml:space="preserve">plans. </w:t>
      </w:r>
    </w:p>
    <w:p w:rsidR="00DE5923" w:rsidRDefault="00DE5923" w:rsidP="00F664AE">
      <w:pPr>
        <w:sectPr w:rsidR="00DE5923" w:rsidSect="004B2B81">
          <w:pgSz w:w="12240" w:h="15840"/>
          <w:pgMar w:top="1440" w:right="1440" w:bottom="993" w:left="1440" w:header="720" w:footer="854" w:gutter="0"/>
          <w:cols w:space="720"/>
          <w:docGrid w:linePitch="360"/>
        </w:sectPr>
      </w:pPr>
    </w:p>
    <w:p w:rsidR="00881D1F" w:rsidRDefault="005B24AB" w:rsidP="007E3F6B">
      <w:pPr>
        <w:pStyle w:val="Heading1"/>
      </w:pPr>
      <w:bookmarkStart w:id="51" w:name="_Toc262221922"/>
      <w:r>
        <w:lastRenderedPageBreak/>
        <w:t>A Passionate and Engaged Community</w:t>
      </w:r>
      <w:bookmarkEnd w:id="51"/>
    </w:p>
    <w:p w:rsidR="00382712" w:rsidRDefault="0045085B" w:rsidP="00F664AE">
      <w:r>
        <w:t xml:space="preserve">This </w:t>
      </w:r>
      <w:r w:rsidR="000C3217">
        <w:t xml:space="preserve">is a true community plan. The </w:t>
      </w:r>
      <w:r w:rsidR="0063260D">
        <w:t xml:space="preserve">extensive </w:t>
      </w:r>
      <w:r w:rsidR="000C3217">
        <w:t xml:space="preserve">consultation process </w:t>
      </w:r>
      <w:r w:rsidR="005308FB">
        <w:t>undertaken</w:t>
      </w:r>
      <w:r w:rsidR="000C3217">
        <w:t xml:space="preserve"> </w:t>
      </w:r>
      <w:r w:rsidR="00514065">
        <w:t xml:space="preserve">in </w:t>
      </w:r>
      <w:r w:rsidR="000C3217">
        <w:t>develop</w:t>
      </w:r>
      <w:r w:rsidR="00514065">
        <w:t>ing</w:t>
      </w:r>
      <w:r w:rsidR="000C3217">
        <w:t xml:space="preserve"> the plan and </w:t>
      </w:r>
      <w:r w:rsidR="00514065">
        <w:t xml:space="preserve">the </w:t>
      </w:r>
      <w:r w:rsidR="001F7DE0">
        <w:t xml:space="preserve">high </w:t>
      </w:r>
      <w:r w:rsidR="000C3217">
        <w:t xml:space="preserve">level of engagement are a testament to the passion and dedication of Ryerson’s academic community and the university’s </w:t>
      </w:r>
      <w:r w:rsidR="00514065">
        <w:t xml:space="preserve">forward </w:t>
      </w:r>
      <w:r w:rsidR="000C3217">
        <w:t>trajectory.</w:t>
      </w:r>
      <w:r w:rsidR="007D4EFF">
        <w:t xml:space="preserve"> </w:t>
      </w:r>
    </w:p>
    <w:p w:rsidR="00382712" w:rsidRDefault="007D4EFF" w:rsidP="00F664AE">
      <w:r>
        <w:t>Consultation participants included students, faculty</w:t>
      </w:r>
      <w:r w:rsidR="001F7DE0">
        <w:t>,</w:t>
      </w:r>
      <w:r>
        <w:t xml:space="preserve"> staff</w:t>
      </w:r>
      <w:r w:rsidR="001F7DE0">
        <w:t>,</w:t>
      </w:r>
      <w:r>
        <w:t xml:space="preserve"> alumni, </w:t>
      </w:r>
      <w:r w:rsidR="00514065">
        <w:t xml:space="preserve">and </w:t>
      </w:r>
      <w:r w:rsidR="002F391E">
        <w:t xml:space="preserve">members of Senate and </w:t>
      </w:r>
      <w:r w:rsidR="00396050">
        <w:t xml:space="preserve">the </w:t>
      </w:r>
      <w:r>
        <w:t>Board of Governor</w:t>
      </w:r>
      <w:r w:rsidR="002F391E">
        <w:t xml:space="preserve">s, </w:t>
      </w:r>
      <w:r>
        <w:t xml:space="preserve">as well as external </w:t>
      </w:r>
      <w:r w:rsidR="00382712">
        <w:t xml:space="preserve">industry and community </w:t>
      </w:r>
      <w:r>
        <w:t>partners.</w:t>
      </w:r>
      <w:r w:rsidR="00382712">
        <w:t xml:space="preserve"> A community consultation blog was launched to facilitate online discussions and</w:t>
      </w:r>
      <w:r w:rsidR="00396050">
        <w:t>,</w:t>
      </w:r>
      <w:r w:rsidR="00382712">
        <w:t xml:space="preserve"> for each phase of consultation, a discussion paper was developed and shared widely.</w:t>
      </w:r>
    </w:p>
    <w:p w:rsidR="000C3217" w:rsidRDefault="000C3217" w:rsidP="00734FE8">
      <w:pPr>
        <w:pStyle w:val="Heading3"/>
        <w:tabs>
          <w:tab w:val="left" w:pos="5898"/>
        </w:tabs>
      </w:pPr>
      <w:bookmarkStart w:id="52" w:name="_Toc387410432"/>
      <w:bookmarkStart w:id="53" w:name="_Toc262221923"/>
      <w:r>
        <w:t>Phase One</w:t>
      </w:r>
      <w:r w:rsidR="00396050">
        <w:t xml:space="preserve">: </w:t>
      </w:r>
      <w:r>
        <w:t xml:space="preserve"> Consultations</w:t>
      </w:r>
      <w:r w:rsidR="001F7DE0">
        <w:t xml:space="preserve"> on Future Directions</w:t>
      </w:r>
      <w:bookmarkEnd w:id="52"/>
      <w:bookmarkEnd w:id="53"/>
    </w:p>
    <w:p w:rsidR="000C3217" w:rsidRDefault="00EE49CA" w:rsidP="00DA6AC7">
      <w:pPr>
        <w:pStyle w:val="ListParagraph"/>
        <w:numPr>
          <w:ilvl w:val="0"/>
          <w:numId w:val="1"/>
        </w:numPr>
      </w:pPr>
      <w:r>
        <w:t>October – December 2013</w:t>
      </w:r>
      <w:r w:rsidR="000C3217">
        <w:t xml:space="preserve"> </w:t>
      </w:r>
    </w:p>
    <w:p w:rsidR="00EE49CA" w:rsidRDefault="00EE49CA" w:rsidP="00DA6AC7">
      <w:pPr>
        <w:pStyle w:val="ListParagraph"/>
        <w:numPr>
          <w:ilvl w:val="0"/>
          <w:numId w:val="1"/>
        </w:numPr>
      </w:pPr>
      <w:r>
        <w:t>4</w:t>
      </w:r>
      <w:r w:rsidR="00FD22BF">
        <w:t>0</w:t>
      </w:r>
      <w:r>
        <w:t xml:space="preserve"> meetings</w:t>
      </w:r>
    </w:p>
    <w:p w:rsidR="00EE49CA" w:rsidRDefault="00EE49CA" w:rsidP="00DA6AC7">
      <w:pPr>
        <w:pStyle w:val="ListParagraph"/>
        <w:numPr>
          <w:ilvl w:val="0"/>
          <w:numId w:val="1"/>
        </w:numPr>
      </w:pPr>
      <w:r>
        <w:t xml:space="preserve">3 community-wide town halls </w:t>
      </w:r>
    </w:p>
    <w:p w:rsidR="00EE49CA" w:rsidRDefault="00EE49CA" w:rsidP="00DA6AC7">
      <w:pPr>
        <w:pStyle w:val="ListParagraph"/>
        <w:numPr>
          <w:ilvl w:val="0"/>
          <w:numId w:val="1"/>
        </w:numPr>
      </w:pPr>
      <w:r>
        <w:t>20 written submissions received</w:t>
      </w:r>
    </w:p>
    <w:p w:rsidR="00EE49CA" w:rsidRDefault="00EE49CA" w:rsidP="00DA6AC7">
      <w:pPr>
        <w:pStyle w:val="ListParagraph"/>
        <w:numPr>
          <w:ilvl w:val="0"/>
          <w:numId w:val="1"/>
        </w:numPr>
      </w:pPr>
      <w:r>
        <w:t>8</w:t>
      </w:r>
      <w:r w:rsidR="00FD22BF">
        <w:t>70</w:t>
      </w:r>
      <w:r>
        <w:t xml:space="preserve"> </w:t>
      </w:r>
      <w:r w:rsidR="007D4EFF">
        <w:t>participants</w:t>
      </w:r>
    </w:p>
    <w:p w:rsidR="000C3217" w:rsidRDefault="000C3217" w:rsidP="005B24AB">
      <w:pPr>
        <w:pStyle w:val="Heading3"/>
      </w:pPr>
      <w:bookmarkStart w:id="54" w:name="_Toc387410433"/>
      <w:bookmarkStart w:id="55" w:name="_Toc262221924"/>
      <w:r>
        <w:t>Phase Two</w:t>
      </w:r>
      <w:r w:rsidR="00396050">
        <w:t xml:space="preserve">: </w:t>
      </w:r>
      <w:r>
        <w:t xml:space="preserve"> Consultations</w:t>
      </w:r>
      <w:r w:rsidR="001F7DE0">
        <w:t xml:space="preserve"> on Proposed Priorities and Strategies</w:t>
      </w:r>
      <w:bookmarkEnd w:id="54"/>
      <w:bookmarkEnd w:id="55"/>
    </w:p>
    <w:p w:rsidR="000C3217" w:rsidRDefault="00F84EEB" w:rsidP="00DA6AC7">
      <w:pPr>
        <w:pStyle w:val="ListParagraph"/>
        <w:numPr>
          <w:ilvl w:val="0"/>
          <w:numId w:val="2"/>
        </w:numPr>
      </w:pPr>
      <w:r>
        <w:t>February</w:t>
      </w:r>
      <w:r w:rsidR="00EE49CA">
        <w:t xml:space="preserve"> – March 2014</w:t>
      </w:r>
    </w:p>
    <w:p w:rsidR="000C3217" w:rsidRDefault="007D4EFF" w:rsidP="00DA6AC7">
      <w:pPr>
        <w:pStyle w:val="ListParagraph"/>
        <w:numPr>
          <w:ilvl w:val="0"/>
          <w:numId w:val="2"/>
        </w:numPr>
      </w:pPr>
      <w:r>
        <w:t>2</w:t>
      </w:r>
      <w:r w:rsidR="00FD22BF">
        <w:t>0</w:t>
      </w:r>
      <w:r>
        <w:t xml:space="preserve"> meetings</w:t>
      </w:r>
    </w:p>
    <w:p w:rsidR="000C3217" w:rsidRDefault="007D4EFF" w:rsidP="00DA6AC7">
      <w:pPr>
        <w:pStyle w:val="ListParagraph"/>
        <w:numPr>
          <w:ilvl w:val="0"/>
          <w:numId w:val="2"/>
        </w:numPr>
      </w:pPr>
      <w:r>
        <w:t>3 community-wide town halls</w:t>
      </w:r>
    </w:p>
    <w:p w:rsidR="000C3217" w:rsidRDefault="00603313" w:rsidP="00DA6AC7">
      <w:pPr>
        <w:pStyle w:val="ListParagraph"/>
        <w:numPr>
          <w:ilvl w:val="0"/>
          <w:numId w:val="2"/>
        </w:numPr>
      </w:pPr>
      <w:r>
        <w:t>30 written submissions received</w:t>
      </w:r>
    </w:p>
    <w:p w:rsidR="006609CF" w:rsidRDefault="007D4EFF" w:rsidP="00DA6AC7">
      <w:pPr>
        <w:pStyle w:val="ListParagraph"/>
        <w:numPr>
          <w:ilvl w:val="0"/>
          <w:numId w:val="2"/>
        </w:numPr>
        <w:sectPr w:rsidR="006609CF" w:rsidSect="004B2B81">
          <w:pgSz w:w="12240" w:h="15840"/>
          <w:pgMar w:top="1440" w:right="1440" w:bottom="993" w:left="1440" w:header="720" w:footer="854" w:gutter="0"/>
          <w:cols w:space="720"/>
          <w:docGrid w:linePitch="360"/>
        </w:sectPr>
      </w:pPr>
      <w:r>
        <w:t>80</w:t>
      </w:r>
      <w:r w:rsidR="00FD22BF">
        <w:t>0</w:t>
      </w:r>
      <w:r>
        <w:t xml:space="preserve"> </w:t>
      </w:r>
      <w:r w:rsidR="000C3217">
        <w:t>participants</w:t>
      </w:r>
    </w:p>
    <w:p w:rsidR="000C3217" w:rsidRDefault="006609CF" w:rsidP="007E3F6B">
      <w:pPr>
        <w:pStyle w:val="Heading2"/>
      </w:pPr>
      <w:bookmarkStart w:id="56" w:name="_Toc387410434"/>
      <w:bookmarkStart w:id="57" w:name="_Toc262221925"/>
      <w:r>
        <w:lastRenderedPageBreak/>
        <w:t>Provost</w:t>
      </w:r>
      <w:r w:rsidR="00FD22BF">
        <w:t>’s</w:t>
      </w:r>
      <w:r>
        <w:t xml:space="preserve"> Academic Plan</w:t>
      </w:r>
      <w:r w:rsidR="000C3217">
        <w:t xml:space="preserve"> Advisory </w:t>
      </w:r>
      <w:r w:rsidR="00D44563">
        <w:t>Group</w:t>
      </w:r>
      <w:bookmarkEnd w:id="56"/>
      <w:bookmarkEnd w:id="57"/>
      <w:r w:rsidR="000C3217">
        <w:t xml:space="preserve"> </w:t>
      </w:r>
    </w:p>
    <w:p w:rsidR="0009273F" w:rsidRDefault="00D44563" w:rsidP="006B10E0">
      <w:pPr>
        <w:spacing w:after="120"/>
      </w:pPr>
      <w:r>
        <w:t>At the outset of the consultation process, the provost formed an advisory group</w:t>
      </w:r>
      <w:r w:rsidR="0009273F">
        <w:t xml:space="preserve"> of select faculty members and staff to provide additional forward-thinking insight. </w:t>
      </w:r>
      <w:r w:rsidR="0060513D">
        <w:t>M</w:t>
      </w:r>
      <w:r w:rsidR="0009273F">
        <w:t xml:space="preserve">embers are recognized below for their outstanding contributions to the </w:t>
      </w:r>
      <w:r w:rsidR="0060513D">
        <w:t>plan’s development</w:t>
      </w:r>
      <w:r w:rsidR="0009273F">
        <w:t>.</w:t>
      </w:r>
    </w:p>
    <w:p w:rsidR="00095262" w:rsidRDefault="00095262" w:rsidP="00E51985">
      <w:pPr>
        <w:sectPr w:rsidR="00095262" w:rsidSect="004B2B81">
          <w:pgSz w:w="12240" w:h="15840"/>
          <w:pgMar w:top="1440" w:right="1440" w:bottom="993" w:left="1440" w:header="720" w:footer="854" w:gutter="0"/>
          <w:cols w:space="720"/>
          <w:docGrid w:linePitch="360"/>
        </w:sectPr>
      </w:pPr>
    </w:p>
    <w:p w:rsidR="00095262" w:rsidRPr="00A079AC" w:rsidRDefault="00095262" w:rsidP="00095262">
      <w:pPr>
        <w:pStyle w:val="KCName"/>
      </w:pPr>
      <w:r w:rsidRPr="00A079AC">
        <w:lastRenderedPageBreak/>
        <w:t>Martin Antony</w:t>
      </w:r>
    </w:p>
    <w:p w:rsidR="00095262" w:rsidRDefault="00095262" w:rsidP="00095262">
      <w:pPr>
        <w:pStyle w:val="KCTitle"/>
      </w:pPr>
      <w:r w:rsidRPr="00923896">
        <w:t>Chair, Department of Psychology</w:t>
      </w:r>
    </w:p>
    <w:p w:rsidR="00095262" w:rsidRDefault="00095262" w:rsidP="00095262">
      <w:pPr>
        <w:pStyle w:val="KCName"/>
      </w:pPr>
      <w:r>
        <w:t>John Austin</w:t>
      </w:r>
    </w:p>
    <w:p w:rsidR="00095262" w:rsidRDefault="00095262" w:rsidP="00095262">
      <w:pPr>
        <w:pStyle w:val="KCTitle"/>
      </w:pPr>
      <w:r w:rsidRPr="00923896">
        <w:t>Exe</w:t>
      </w:r>
      <w:r>
        <w:t>cutive Director, Student Affairs</w:t>
      </w:r>
    </w:p>
    <w:p w:rsidR="00095262" w:rsidRDefault="00095262" w:rsidP="00095262">
      <w:pPr>
        <w:pStyle w:val="KCName"/>
      </w:pPr>
      <w:r>
        <w:t xml:space="preserve">Lisa </w:t>
      </w:r>
      <w:proofErr w:type="spellStart"/>
      <w:r>
        <w:t>Barnoff</w:t>
      </w:r>
      <w:proofErr w:type="spellEnd"/>
    </w:p>
    <w:p w:rsidR="00095262" w:rsidRDefault="00095262" w:rsidP="00095262">
      <w:pPr>
        <w:pStyle w:val="KCTitle"/>
      </w:pPr>
      <w:r w:rsidRPr="00923896">
        <w:t>Director, School of Social Work</w:t>
      </w:r>
    </w:p>
    <w:p w:rsidR="00095262" w:rsidRDefault="00095262" w:rsidP="00095262">
      <w:pPr>
        <w:pStyle w:val="KCName"/>
      </w:pPr>
      <w:r>
        <w:t xml:space="preserve">Randy </w:t>
      </w:r>
      <w:proofErr w:type="spellStart"/>
      <w:r>
        <w:t>Boyagoda</w:t>
      </w:r>
      <w:proofErr w:type="spellEnd"/>
    </w:p>
    <w:p w:rsidR="00095262" w:rsidRDefault="00095262" w:rsidP="00095262">
      <w:pPr>
        <w:pStyle w:val="KCTitle"/>
      </w:pPr>
      <w:r w:rsidRPr="00923896">
        <w:t>Director, Zone Learning</w:t>
      </w:r>
    </w:p>
    <w:p w:rsidR="00095262" w:rsidRDefault="00095262" w:rsidP="00095262">
      <w:pPr>
        <w:pStyle w:val="KCName"/>
      </w:pPr>
      <w:r>
        <w:t xml:space="preserve">David </w:t>
      </w:r>
      <w:proofErr w:type="spellStart"/>
      <w:r>
        <w:t>Checkland</w:t>
      </w:r>
      <w:proofErr w:type="spellEnd"/>
    </w:p>
    <w:p w:rsidR="00095262" w:rsidRDefault="00095262" w:rsidP="00095262">
      <w:pPr>
        <w:pStyle w:val="KCTitle"/>
      </w:pPr>
      <w:r w:rsidRPr="00923896">
        <w:t>Professor, Department of Philosophy</w:t>
      </w:r>
    </w:p>
    <w:p w:rsidR="00095262" w:rsidRDefault="00095262" w:rsidP="00095262">
      <w:pPr>
        <w:pStyle w:val="KCName"/>
      </w:pPr>
      <w:r>
        <w:t>Christopher De Sousa</w:t>
      </w:r>
    </w:p>
    <w:p w:rsidR="00095262" w:rsidRDefault="00095262" w:rsidP="00095262">
      <w:pPr>
        <w:pStyle w:val="KCTitle"/>
      </w:pPr>
      <w:r>
        <w:t>Director, School of Urban and Regional Planning</w:t>
      </w:r>
    </w:p>
    <w:p w:rsidR="00095262" w:rsidRDefault="00095262" w:rsidP="00095262">
      <w:pPr>
        <w:pStyle w:val="KCName"/>
      </w:pPr>
      <w:r>
        <w:t>Chris Evans</w:t>
      </w:r>
    </w:p>
    <w:p w:rsidR="00095262" w:rsidRDefault="00095262" w:rsidP="00095262">
      <w:pPr>
        <w:pStyle w:val="KCTitle"/>
      </w:pPr>
      <w:r>
        <w:t>Vice-</w:t>
      </w:r>
      <w:r w:rsidRPr="00923896">
        <w:t>Provost, Academic</w:t>
      </w:r>
    </w:p>
    <w:p w:rsidR="00095262" w:rsidRDefault="00095262" w:rsidP="00095262">
      <w:pPr>
        <w:pStyle w:val="KCName"/>
      </w:pPr>
      <w:r>
        <w:t>John Enright</w:t>
      </w:r>
    </w:p>
    <w:p w:rsidR="00095262" w:rsidRDefault="00095262" w:rsidP="00095262">
      <w:pPr>
        <w:pStyle w:val="KCTitle"/>
      </w:pPr>
      <w:r>
        <w:t>Interim Associate Dean, Faculty of Engineering and Architectural Science</w:t>
      </w:r>
    </w:p>
    <w:p w:rsidR="00095262" w:rsidRDefault="00095262" w:rsidP="00095262">
      <w:pPr>
        <w:pStyle w:val="KCName"/>
      </w:pPr>
      <w:r>
        <w:t xml:space="preserve">Charles </w:t>
      </w:r>
      <w:proofErr w:type="spellStart"/>
      <w:r>
        <w:t>Falzon</w:t>
      </w:r>
      <w:proofErr w:type="spellEnd"/>
    </w:p>
    <w:p w:rsidR="00095262" w:rsidRDefault="00095262" w:rsidP="00095262">
      <w:pPr>
        <w:pStyle w:val="KCTitle"/>
      </w:pPr>
      <w:r w:rsidRPr="00923896">
        <w:t xml:space="preserve">Chair, </w:t>
      </w:r>
      <w:r>
        <w:t>The RTA School of Media</w:t>
      </w:r>
    </w:p>
    <w:p w:rsidR="00095262" w:rsidRDefault="00095262" w:rsidP="00095262">
      <w:pPr>
        <w:pStyle w:val="KCName"/>
      </w:pPr>
      <w:r>
        <w:t xml:space="preserve">Cecile </w:t>
      </w:r>
      <w:proofErr w:type="spellStart"/>
      <w:r>
        <w:t>Farnum</w:t>
      </w:r>
      <w:proofErr w:type="spellEnd"/>
    </w:p>
    <w:p w:rsidR="00095262" w:rsidRDefault="00095262" w:rsidP="00095262">
      <w:pPr>
        <w:pStyle w:val="KCTitle"/>
      </w:pPr>
      <w:r w:rsidRPr="00923896">
        <w:t>Librarian</w:t>
      </w:r>
    </w:p>
    <w:p w:rsidR="00095262" w:rsidRDefault="00095262" w:rsidP="00095262">
      <w:pPr>
        <w:pStyle w:val="KCName"/>
      </w:pPr>
      <w:r>
        <w:t>Desmond Glynn</w:t>
      </w:r>
    </w:p>
    <w:p w:rsidR="00095262" w:rsidRDefault="00095262" w:rsidP="00095262">
      <w:pPr>
        <w:pStyle w:val="KCTitle"/>
      </w:pPr>
      <w:r w:rsidRPr="00923896">
        <w:t>Senior Program Director, The G. Raymond Chang School of Continuing Education</w:t>
      </w:r>
    </w:p>
    <w:p w:rsidR="00095262" w:rsidRDefault="00095262" w:rsidP="00095262">
      <w:pPr>
        <w:pStyle w:val="KCName"/>
      </w:pPr>
      <w:proofErr w:type="spellStart"/>
      <w:r>
        <w:t>Murtaza</w:t>
      </w:r>
      <w:proofErr w:type="spellEnd"/>
      <w:r>
        <w:t xml:space="preserve"> </w:t>
      </w:r>
      <w:proofErr w:type="spellStart"/>
      <w:r>
        <w:t>Haider</w:t>
      </w:r>
      <w:proofErr w:type="spellEnd"/>
    </w:p>
    <w:p w:rsidR="00095262" w:rsidRDefault="00095262" w:rsidP="00095262">
      <w:pPr>
        <w:pStyle w:val="KCTitle"/>
      </w:pPr>
      <w:r w:rsidRPr="00923896">
        <w:t xml:space="preserve">Associate Dean, Ted Rogers School of </w:t>
      </w:r>
      <w:r>
        <w:t>Management</w:t>
      </w:r>
    </w:p>
    <w:p w:rsidR="00095262" w:rsidRDefault="00095262" w:rsidP="00095262">
      <w:pPr>
        <w:pStyle w:val="KCName"/>
      </w:pPr>
      <w:r>
        <w:t xml:space="preserve">Darrick </w:t>
      </w:r>
      <w:proofErr w:type="spellStart"/>
      <w:r>
        <w:t>Heyd</w:t>
      </w:r>
      <w:proofErr w:type="spellEnd"/>
    </w:p>
    <w:p w:rsidR="00095262" w:rsidRDefault="00095262" w:rsidP="00095262">
      <w:pPr>
        <w:pStyle w:val="KCTitle"/>
      </w:pPr>
      <w:r w:rsidRPr="001273F7">
        <w:t>Associate Dean, Faculty of Science</w:t>
      </w:r>
    </w:p>
    <w:p w:rsidR="00095262" w:rsidRDefault="00095262" w:rsidP="00095262">
      <w:pPr>
        <w:pStyle w:val="KCName"/>
      </w:pPr>
      <w:r>
        <w:lastRenderedPageBreak/>
        <w:t>Andrew Hunter</w:t>
      </w:r>
    </w:p>
    <w:p w:rsidR="00095262" w:rsidRDefault="00095262" w:rsidP="00095262">
      <w:pPr>
        <w:pStyle w:val="KCTitle"/>
      </w:pPr>
      <w:r w:rsidRPr="001273F7">
        <w:t>Chair, Department of Philosophy</w:t>
      </w:r>
    </w:p>
    <w:p w:rsidR="00095262" w:rsidRDefault="00095262" w:rsidP="00095262">
      <w:pPr>
        <w:pStyle w:val="KCName"/>
      </w:pPr>
      <w:r>
        <w:t xml:space="preserve">Michael </w:t>
      </w:r>
      <w:proofErr w:type="spellStart"/>
      <w:r>
        <w:t>Kolios</w:t>
      </w:r>
      <w:proofErr w:type="spellEnd"/>
    </w:p>
    <w:p w:rsidR="00095262" w:rsidRDefault="00095262" w:rsidP="00095262">
      <w:pPr>
        <w:pStyle w:val="KCTitle"/>
      </w:pPr>
      <w:r w:rsidRPr="001273F7">
        <w:t>Associate Dean, Faculty of Science</w:t>
      </w:r>
    </w:p>
    <w:p w:rsidR="00095262" w:rsidRDefault="00095262" w:rsidP="00095262">
      <w:pPr>
        <w:pStyle w:val="KCName"/>
      </w:pPr>
      <w:r>
        <w:t xml:space="preserve">Lynn </w:t>
      </w:r>
      <w:proofErr w:type="spellStart"/>
      <w:r>
        <w:t>Lavallée</w:t>
      </w:r>
      <w:proofErr w:type="spellEnd"/>
    </w:p>
    <w:p w:rsidR="00095262" w:rsidRDefault="00095262" w:rsidP="00095262">
      <w:pPr>
        <w:pStyle w:val="KCTitle"/>
      </w:pPr>
      <w:r w:rsidRPr="001273F7">
        <w:t>Associate Director, School of Social Work</w:t>
      </w:r>
    </w:p>
    <w:p w:rsidR="00095262" w:rsidRDefault="00095262" w:rsidP="00095262">
      <w:pPr>
        <w:pStyle w:val="KCName"/>
      </w:pPr>
      <w:r>
        <w:t xml:space="preserve">Ali </w:t>
      </w:r>
      <w:proofErr w:type="spellStart"/>
      <w:r>
        <w:t>Lohi</w:t>
      </w:r>
      <w:proofErr w:type="spellEnd"/>
    </w:p>
    <w:p w:rsidR="00095262" w:rsidRDefault="00095262" w:rsidP="00095262">
      <w:pPr>
        <w:pStyle w:val="KCTitle"/>
      </w:pPr>
      <w:r w:rsidRPr="001273F7">
        <w:t>Professor, Department of Chemical Engineering</w:t>
      </w:r>
    </w:p>
    <w:p w:rsidR="00095262" w:rsidRDefault="00095262" w:rsidP="00095262">
      <w:pPr>
        <w:pStyle w:val="KCName"/>
      </w:pPr>
      <w:r>
        <w:t xml:space="preserve">Jennifer </w:t>
      </w:r>
      <w:proofErr w:type="spellStart"/>
      <w:r>
        <w:t>MacInnis</w:t>
      </w:r>
      <w:proofErr w:type="spellEnd"/>
    </w:p>
    <w:p w:rsidR="00095262" w:rsidRDefault="00095262" w:rsidP="00095262">
      <w:pPr>
        <w:pStyle w:val="KCTitle"/>
      </w:pPr>
      <w:r>
        <w:t>Legal Counsel and Senior Director, Applied Research and Commercialization</w:t>
      </w:r>
    </w:p>
    <w:p w:rsidR="00095262" w:rsidRDefault="00095262" w:rsidP="00095262">
      <w:pPr>
        <w:pStyle w:val="KCName"/>
      </w:pPr>
      <w:r>
        <w:t>Kelly MacKay</w:t>
      </w:r>
    </w:p>
    <w:p w:rsidR="00095262" w:rsidRDefault="00095262" w:rsidP="00095262">
      <w:pPr>
        <w:pStyle w:val="KCTitle"/>
      </w:pPr>
      <w:r w:rsidRPr="001273F7">
        <w:t>Professor, School of Hospitality and Tourism Management</w:t>
      </w:r>
    </w:p>
    <w:p w:rsidR="00095262" w:rsidRDefault="00095262" w:rsidP="00095262">
      <w:pPr>
        <w:pStyle w:val="KCName"/>
      </w:pPr>
      <w:r>
        <w:t xml:space="preserve">Ana </w:t>
      </w:r>
      <w:proofErr w:type="spellStart"/>
      <w:r>
        <w:t>Pejović-Milić</w:t>
      </w:r>
      <w:proofErr w:type="spellEnd"/>
    </w:p>
    <w:p w:rsidR="00095262" w:rsidRDefault="00095262" w:rsidP="00095262">
      <w:pPr>
        <w:pStyle w:val="KCTitle"/>
      </w:pPr>
      <w:r w:rsidRPr="001273F7">
        <w:t>Chair, Department of Physics</w:t>
      </w:r>
    </w:p>
    <w:p w:rsidR="00095262" w:rsidRDefault="00095262" w:rsidP="00095262">
      <w:pPr>
        <w:pStyle w:val="KCName"/>
      </w:pPr>
      <w:r>
        <w:t>Neil Thomlinson</w:t>
      </w:r>
    </w:p>
    <w:p w:rsidR="00095262" w:rsidRDefault="00095262" w:rsidP="00095262">
      <w:pPr>
        <w:pStyle w:val="KCTitle"/>
      </w:pPr>
      <w:r w:rsidRPr="001273F7">
        <w:t>Professor, Department of Politics and Public Administration</w:t>
      </w:r>
    </w:p>
    <w:p w:rsidR="00095262" w:rsidRDefault="00095262" w:rsidP="00095262">
      <w:pPr>
        <w:pStyle w:val="KCName"/>
      </w:pPr>
      <w:r>
        <w:t xml:space="preserve">David </w:t>
      </w:r>
      <w:proofErr w:type="spellStart"/>
      <w:r>
        <w:t>Valliere</w:t>
      </w:r>
      <w:proofErr w:type="spellEnd"/>
    </w:p>
    <w:p w:rsidR="00095262" w:rsidRDefault="00095262" w:rsidP="00095262">
      <w:pPr>
        <w:pStyle w:val="KCTitle"/>
      </w:pPr>
      <w:r w:rsidRPr="001273F7">
        <w:t xml:space="preserve">Chair, Department of Entrepreneurship </w:t>
      </w:r>
      <w:r>
        <w:t>and</w:t>
      </w:r>
      <w:r w:rsidRPr="001273F7">
        <w:t xml:space="preserve"> Strategy</w:t>
      </w:r>
    </w:p>
    <w:p w:rsidR="00095262" w:rsidRDefault="00095262" w:rsidP="00095262">
      <w:pPr>
        <w:pStyle w:val="KCName"/>
      </w:pPr>
      <w:r>
        <w:t>Paul Walsh</w:t>
      </w:r>
    </w:p>
    <w:p w:rsidR="00095262" w:rsidRDefault="00095262" w:rsidP="00095262">
      <w:pPr>
        <w:pStyle w:val="KCTitle"/>
      </w:pPr>
      <w:r w:rsidRPr="001273F7">
        <w:t>Professor, Department of Aerospace Engineering</w:t>
      </w:r>
    </w:p>
    <w:p w:rsidR="00095262" w:rsidRDefault="00095262" w:rsidP="00095262">
      <w:pPr>
        <w:pStyle w:val="KCName"/>
      </w:pPr>
      <w:r>
        <w:t>Nancy Walton</w:t>
      </w:r>
    </w:p>
    <w:p w:rsidR="00095262" w:rsidRDefault="00095262" w:rsidP="00095262">
      <w:pPr>
        <w:pStyle w:val="KCTitle"/>
      </w:pPr>
      <w:r>
        <w:t>Director, E-Learning</w:t>
      </w:r>
    </w:p>
    <w:p w:rsidR="00095262" w:rsidRDefault="00095262" w:rsidP="00095262">
      <w:pPr>
        <w:pStyle w:val="KCName"/>
      </w:pPr>
      <w:r>
        <w:t xml:space="preserve">Lois </w:t>
      </w:r>
      <w:proofErr w:type="spellStart"/>
      <w:r>
        <w:t>Weinthal</w:t>
      </w:r>
      <w:proofErr w:type="spellEnd"/>
    </w:p>
    <w:p w:rsidR="00095262" w:rsidRDefault="00095262" w:rsidP="00095262">
      <w:pPr>
        <w:pStyle w:val="KCTitle"/>
      </w:pPr>
      <w:r w:rsidRPr="001273F7">
        <w:t>Chair, School of Interior Design</w:t>
      </w:r>
    </w:p>
    <w:p w:rsidR="00095262" w:rsidRDefault="00095262" w:rsidP="0009273F">
      <w:pPr>
        <w:pStyle w:val="KCName"/>
        <w:sectPr w:rsidR="00095262" w:rsidSect="00095262">
          <w:type w:val="continuous"/>
          <w:pgSz w:w="12240" w:h="15840"/>
          <w:pgMar w:top="1440" w:right="1440" w:bottom="993" w:left="1440" w:header="720" w:footer="854" w:gutter="0"/>
          <w:cols w:num="2" w:space="720"/>
          <w:docGrid w:linePitch="360"/>
        </w:sectPr>
      </w:pPr>
    </w:p>
    <w:p w:rsidR="0009273F" w:rsidRDefault="0009273F" w:rsidP="00D44563">
      <w:pPr>
        <w:sectPr w:rsidR="0009273F" w:rsidSect="00095262">
          <w:type w:val="continuous"/>
          <w:pgSz w:w="12240" w:h="15840"/>
          <w:pgMar w:top="1440" w:right="1440" w:bottom="993" w:left="1440" w:header="720" w:footer="854" w:gutter="0"/>
          <w:cols w:space="720"/>
          <w:docGrid w:linePitch="360"/>
        </w:sectPr>
      </w:pPr>
    </w:p>
    <w:p w:rsidR="00554C13" w:rsidRDefault="00554C13" w:rsidP="00554C13">
      <w:pPr>
        <w:sectPr w:rsidR="00554C13" w:rsidSect="00D44563">
          <w:type w:val="continuous"/>
          <w:pgSz w:w="12240" w:h="15840"/>
          <w:pgMar w:top="1440" w:right="1440" w:bottom="993" w:left="1440" w:header="720" w:footer="854" w:gutter="0"/>
          <w:cols w:space="720"/>
          <w:docGrid w:linePitch="360"/>
        </w:sectPr>
      </w:pPr>
    </w:p>
    <w:p w:rsidR="006421D1" w:rsidRDefault="006421D1" w:rsidP="00554C13">
      <w:pPr>
        <w:pStyle w:val="Heading1"/>
      </w:pPr>
      <w:bookmarkStart w:id="58" w:name="_Toc262221926"/>
      <w:r>
        <w:lastRenderedPageBreak/>
        <w:t>Strategies Matrix</w:t>
      </w:r>
      <w:bookmarkEnd w:id="58"/>
    </w:p>
    <w:p w:rsidR="001F06AB" w:rsidRDefault="001F06AB" w:rsidP="001F06AB">
      <w:pPr>
        <w:spacing w:after="80"/>
        <w:rPr>
          <w:sz w:val="20"/>
          <w:szCs w:val="20"/>
        </w:rPr>
      </w:pPr>
      <w:r>
        <w:rPr>
          <w:sz w:val="20"/>
          <w:szCs w:val="20"/>
        </w:rPr>
        <w:t xml:space="preserve">P1 &gt; </w:t>
      </w:r>
      <w:r w:rsidRPr="007566EA">
        <w:rPr>
          <w:sz w:val="20"/>
          <w:szCs w:val="20"/>
        </w:rPr>
        <w:t>Enable Greater Student Engagement and Success through Exceptional Experiences</w:t>
      </w:r>
    </w:p>
    <w:p w:rsidR="001F06AB" w:rsidRPr="007566EA" w:rsidRDefault="001F06AB" w:rsidP="001F06AB">
      <w:pPr>
        <w:spacing w:after="80"/>
        <w:rPr>
          <w:sz w:val="20"/>
          <w:szCs w:val="20"/>
        </w:rPr>
      </w:pPr>
      <w:r w:rsidRPr="007566EA">
        <w:rPr>
          <w:sz w:val="20"/>
          <w:szCs w:val="20"/>
        </w:rPr>
        <w:t>P2</w:t>
      </w:r>
      <w:r>
        <w:rPr>
          <w:sz w:val="20"/>
          <w:szCs w:val="20"/>
        </w:rPr>
        <w:t xml:space="preserve"> &gt; </w:t>
      </w:r>
      <w:r w:rsidRPr="007566EA">
        <w:rPr>
          <w:sz w:val="20"/>
          <w:szCs w:val="20"/>
        </w:rPr>
        <w:t xml:space="preserve">Increase </w:t>
      </w:r>
      <w:r w:rsidR="00AA6951">
        <w:rPr>
          <w:sz w:val="20"/>
          <w:szCs w:val="20"/>
        </w:rPr>
        <w:t>SRC</w:t>
      </w:r>
      <w:r w:rsidR="00AA6951" w:rsidRPr="007566EA">
        <w:rPr>
          <w:sz w:val="20"/>
          <w:szCs w:val="20"/>
        </w:rPr>
        <w:t xml:space="preserve"> </w:t>
      </w:r>
      <w:r w:rsidRPr="007566EA">
        <w:rPr>
          <w:sz w:val="20"/>
          <w:szCs w:val="20"/>
        </w:rPr>
        <w:t>Excellence, Intensity and Impact</w:t>
      </w:r>
    </w:p>
    <w:p w:rsidR="001F06AB" w:rsidRPr="007566EA" w:rsidRDefault="001F06AB" w:rsidP="001F06AB">
      <w:pPr>
        <w:spacing w:after="80"/>
        <w:rPr>
          <w:sz w:val="20"/>
          <w:szCs w:val="20"/>
        </w:rPr>
      </w:pPr>
      <w:r>
        <w:rPr>
          <w:sz w:val="20"/>
          <w:szCs w:val="20"/>
        </w:rPr>
        <w:t xml:space="preserve">P3 &gt; </w:t>
      </w:r>
      <w:r w:rsidRPr="007566EA">
        <w:rPr>
          <w:sz w:val="20"/>
          <w:szCs w:val="20"/>
        </w:rPr>
        <w:t>Foster an Innovation Ecosystem</w:t>
      </w:r>
    </w:p>
    <w:p w:rsidR="001F06AB" w:rsidRPr="007566EA" w:rsidRDefault="001F06AB" w:rsidP="001F06AB">
      <w:pPr>
        <w:spacing w:after="480"/>
        <w:rPr>
          <w:sz w:val="20"/>
          <w:szCs w:val="20"/>
        </w:rPr>
      </w:pPr>
      <w:r>
        <w:rPr>
          <w:sz w:val="20"/>
          <w:szCs w:val="20"/>
        </w:rPr>
        <w:t xml:space="preserve">P4 &gt; </w:t>
      </w:r>
      <w:r w:rsidRPr="007566EA">
        <w:rPr>
          <w:sz w:val="20"/>
          <w:szCs w:val="20"/>
        </w:rPr>
        <w:t>Expand Community Engagement and City Building</w:t>
      </w:r>
    </w:p>
    <w:tbl>
      <w:tblPr>
        <w:tblStyle w:val="TableGrid"/>
        <w:tblW w:w="0" w:type="auto"/>
        <w:tblLook w:val="04A0" w:firstRow="1" w:lastRow="0" w:firstColumn="1" w:lastColumn="0" w:noHBand="0" w:noVBand="1"/>
      </w:tblPr>
      <w:tblGrid>
        <w:gridCol w:w="11583"/>
        <w:gridCol w:w="510"/>
        <w:gridCol w:w="510"/>
        <w:gridCol w:w="510"/>
        <w:gridCol w:w="510"/>
      </w:tblGrid>
      <w:tr w:rsidR="001F06AB" w:rsidTr="00C76DA1">
        <w:trPr>
          <w:tblHeader/>
        </w:trPr>
        <w:tc>
          <w:tcPr>
            <w:tcW w:w="0" w:type="auto"/>
          </w:tcPr>
          <w:p w:rsidR="001F06AB" w:rsidRPr="00C718A4" w:rsidRDefault="001F06AB" w:rsidP="001F06AB">
            <w:pPr>
              <w:rPr>
                <w:b/>
              </w:rPr>
            </w:pPr>
            <w:r w:rsidRPr="00C718A4">
              <w:rPr>
                <w:b/>
              </w:rPr>
              <w:t>S</w:t>
            </w:r>
            <w:r>
              <w:rPr>
                <w:b/>
              </w:rPr>
              <w:t>trategies</w:t>
            </w:r>
          </w:p>
        </w:tc>
        <w:tc>
          <w:tcPr>
            <w:tcW w:w="0" w:type="auto"/>
          </w:tcPr>
          <w:p w:rsidR="001F06AB" w:rsidRPr="00460C27" w:rsidRDefault="001F06AB" w:rsidP="00C76DA1">
            <w:pPr>
              <w:rPr>
                <w:b/>
              </w:rPr>
            </w:pPr>
            <w:r w:rsidRPr="00460C27">
              <w:rPr>
                <w:b/>
              </w:rPr>
              <w:t>P1</w:t>
            </w:r>
          </w:p>
        </w:tc>
        <w:tc>
          <w:tcPr>
            <w:tcW w:w="0" w:type="auto"/>
          </w:tcPr>
          <w:p w:rsidR="001F06AB" w:rsidRPr="00460C27" w:rsidRDefault="001F06AB" w:rsidP="00C76DA1">
            <w:pPr>
              <w:rPr>
                <w:b/>
              </w:rPr>
            </w:pPr>
            <w:r w:rsidRPr="00460C27">
              <w:rPr>
                <w:b/>
              </w:rPr>
              <w:t>P2</w:t>
            </w:r>
          </w:p>
        </w:tc>
        <w:tc>
          <w:tcPr>
            <w:tcW w:w="0" w:type="auto"/>
          </w:tcPr>
          <w:p w:rsidR="001F06AB" w:rsidRPr="00460C27" w:rsidRDefault="001F06AB" w:rsidP="00C76DA1">
            <w:pPr>
              <w:rPr>
                <w:b/>
              </w:rPr>
            </w:pPr>
            <w:r w:rsidRPr="00460C27">
              <w:rPr>
                <w:b/>
              </w:rPr>
              <w:t>P3</w:t>
            </w:r>
          </w:p>
        </w:tc>
        <w:tc>
          <w:tcPr>
            <w:tcW w:w="0" w:type="auto"/>
          </w:tcPr>
          <w:p w:rsidR="001F06AB" w:rsidRPr="00460C27" w:rsidRDefault="001F06AB" w:rsidP="00C76DA1">
            <w:pPr>
              <w:rPr>
                <w:b/>
              </w:rPr>
            </w:pPr>
            <w:r w:rsidRPr="00460C27">
              <w:rPr>
                <w:b/>
              </w:rPr>
              <w:t>P4</w:t>
            </w:r>
          </w:p>
        </w:tc>
      </w:tr>
      <w:tr w:rsidR="001F06AB" w:rsidTr="00C76DA1">
        <w:trPr>
          <w:trHeight w:val="288"/>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Attract and retain high-quality faculty and staff with diverse backgrounds.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r>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Assess administrative structures, processes and services to ensure ongoing effectiveness of university assets, support for academic programming and SRC activity, and enhanced space utilization.</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rFonts w:eastAsia="Times New Roman"/>
                <w:sz w:val="20"/>
                <w:szCs w:val="20"/>
                <w:lang w:eastAsia="en-CA"/>
              </w:rPr>
            </w:pPr>
            <w:r>
              <w:rPr>
                <w:rFonts w:eastAsia="Times New Roman"/>
                <w:sz w:val="20"/>
                <w:szCs w:val="20"/>
                <w:lang w:eastAsia="en-CA"/>
              </w:rPr>
              <w:t>C</w:t>
            </w:r>
            <w:r w:rsidRPr="001067A6">
              <w:rPr>
                <w:rFonts w:eastAsia="Times New Roman"/>
                <w:sz w:val="20"/>
                <w:szCs w:val="20"/>
                <w:lang w:eastAsia="en-CA"/>
              </w:rPr>
              <w:t>ontinue t</w:t>
            </w:r>
            <w:r w:rsidR="00AA6951">
              <w:rPr>
                <w:rFonts w:eastAsia="Times New Roman"/>
                <w:sz w:val="20"/>
                <w:szCs w:val="20"/>
                <w:lang w:eastAsia="en-CA"/>
              </w:rPr>
              <w:t>he</w:t>
            </w:r>
            <w:r w:rsidRPr="001067A6">
              <w:rPr>
                <w:rFonts w:eastAsia="Times New Roman"/>
                <w:sz w:val="20"/>
                <w:szCs w:val="20"/>
                <w:lang w:eastAsia="en-CA"/>
              </w:rPr>
              <w:t xml:space="preserve"> </w:t>
            </w:r>
            <w:r w:rsidR="007240EA">
              <w:rPr>
                <w:rFonts w:eastAsia="Times New Roman"/>
                <w:sz w:val="20"/>
                <w:szCs w:val="20"/>
                <w:lang w:eastAsia="en-CA"/>
              </w:rPr>
              <w:t xml:space="preserve">ongoing </w:t>
            </w:r>
            <w:r w:rsidRPr="001067A6">
              <w:rPr>
                <w:rFonts w:eastAsia="Times New Roman"/>
                <w:sz w:val="20"/>
                <w:szCs w:val="20"/>
                <w:lang w:eastAsia="en-CA"/>
              </w:rPr>
              <w:t>evol</w:t>
            </w:r>
            <w:r w:rsidR="00AA6951">
              <w:rPr>
                <w:rFonts w:eastAsia="Times New Roman"/>
                <w:sz w:val="20"/>
                <w:szCs w:val="20"/>
                <w:lang w:eastAsia="en-CA"/>
              </w:rPr>
              <w:t>ution of</w:t>
            </w:r>
            <w:r>
              <w:rPr>
                <w:rFonts w:eastAsia="Times New Roman"/>
                <w:sz w:val="20"/>
                <w:szCs w:val="20"/>
                <w:lang w:eastAsia="en-CA"/>
              </w:rPr>
              <w:t xml:space="preserve"> Ryerson’s high-quality curriculum</w:t>
            </w:r>
            <w:r w:rsidRPr="001067A6">
              <w:rPr>
                <w:rFonts w:eastAsia="Times New Roman"/>
                <w:sz w:val="20"/>
                <w:szCs w:val="20"/>
                <w:lang w:eastAsia="en-CA"/>
              </w:rPr>
              <w:t>, so that programming and its delivery remain innovative and responsive to students. Courses will be made more accessible, students will be given more choice, and transferability will be enhanced.</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r>
              <w:t>x</w:t>
            </w:r>
          </w:p>
        </w:tc>
        <w:tc>
          <w:tcPr>
            <w:tcW w:w="0" w:type="auto"/>
          </w:tcPr>
          <w:p w:rsidR="001F06AB" w:rsidRDefault="003664B5" w:rsidP="00C76DA1">
            <w:pPr>
              <w:spacing w:before="80" w:after="80"/>
            </w:pPr>
            <w:r>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 xml:space="preserve">Foster greater interdisciplinary </w:t>
            </w:r>
            <w:r w:rsidRPr="001067A6">
              <w:rPr>
                <w:rFonts w:eastAsia="Times New Roman"/>
                <w:sz w:val="20"/>
                <w:szCs w:val="20"/>
                <w:lang w:eastAsia="en-CA"/>
              </w:rPr>
              <w:t xml:space="preserve">SRC activity, </w:t>
            </w:r>
            <w:r w:rsidRPr="001067A6">
              <w:rPr>
                <w:rFonts w:eastAsia="Times New Roman"/>
                <w:color w:val="000000"/>
                <w:sz w:val="20"/>
                <w:szCs w:val="20"/>
                <w:lang w:eastAsia="en-CA"/>
              </w:rPr>
              <w:t>curriculum, programs</w:t>
            </w:r>
            <w:r w:rsidRPr="001067A6">
              <w:rPr>
                <w:rFonts w:eastAsia="Times New Roman"/>
                <w:color w:val="FF0000"/>
                <w:sz w:val="20"/>
                <w:szCs w:val="20"/>
                <w:lang w:eastAsia="en-CA"/>
              </w:rPr>
              <w:t xml:space="preserve"> </w:t>
            </w:r>
            <w:r w:rsidRPr="001067A6">
              <w:rPr>
                <w:rFonts w:eastAsia="Times New Roman"/>
                <w:color w:val="000000"/>
                <w:sz w:val="20"/>
                <w:szCs w:val="20"/>
                <w:lang w:eastAsia="en-CA"/>
              </w:rPr>
              <w:t>– including the continued evolution of the curriculum model – giving consideration to development, delivery, administration, support and related policies.</w:t>
            </w:r>
          </w:p>
        </w:tc>
        <w:tc>
          <w:tcPr>
            <w:tcW w:w="0" w:type="auto"/>
          </w:tcPr>
          <w:p w:rsidR="001F06AB" w:rsidRPr="003B080F" w:rsidRDefault="001F06AB" w:rsidP="00C76DA1">
            <w:pPr>
              <w:spacing w:before="80" w:after="80"/>
            </w:pPr>
            <w:r w:rsidRPr="003B080F">
              <w:t>x</w:t>
            </w:r>
          </w:p>
        </w:tc>
        <w:tc>
          <w:tcPr>
            <w:tcW w:w="0" w:type="auto"/>
          </w:tcPr>
          <w:p w:rsidR="001F06AB" w:rsidRDefault="003664B5" w:rsidP="00C76DA1">
            <w:pPr>
              <w:spacing w:before="80" w:after="80"/>
            </w:pPr>
            <w:r>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p>
        </w:tc>
      </w:tr>
      <w:tr w:rsidR="001F06AB" w:rsidTr="00C76DA1">
        <w:trPr>
          <w:trHeight w:val="432"/>
        </w:trPr>
        <w:tc>
          <w:tcPr>
            <w:tcW w:w="0" w:type="auto"/>
            <w:vAlign w:val="center"/>
          </w:tcPr>
          <w:p w:rsidR="001F06AB" w:rsidRPr="001067A6" w:rsidRDefault="001F06AB" w:rsidP="007240EA">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Evolve and expand experiential learning opportunities for undergraduate and graduate students.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r>
              <w:t>x</w:t>
            </w:r>
          </w:p>
        </w:tc>
      </w:tr>
      <w:tr w:rsidR="001F06AB" w:rsidTr="00C76DA1">
        <w:trPr>
          <w:trHeight w:val="432"/>
        </w:trPr>
        <w:tc>
          <w:tcPr>
            <w:tcW w:w="0" w:type="auto"/>
            <w:vAlign w:val="center"/>
          </w:tcPr>
          <w:p w:rsidR="001F06AB" w:rsidRPr="001067A6" w:rsidRDefault="001F06AB" w:rsidP="007240EA">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Offer services, supports, spaces and improved engage</w:t>
            </w:r>
            <w:r w:rsidR="00705332">
              <w:rPr>
                <w:rFonts w:eastAsia="Times New Roman"/>
                <w:color w:val="000000"/>
                <w:sz w:val="20"/>
                <w:szCs w:val="20"/>
                <w:lang w:eastAsia="en-CA"/>
              </w:rPr>
              <w:t xml:space="preserve">ment opportunities that enable </w:t>
            </w:r>
            <w:r w:rsidRPr="001067A6">
              <w:rPr>
                <w:rFonts w:eastAsia="Times New Roman"/>
                <w:color w:val="000000"/>
                <w:sz w:val="20"/>
                <w:szCs w:val="20"/>
                <w:lang w:eastAsia="en-CA"/>
              </w:rPr>
              <w:t>student</w:t>
            </w:r>
            <w:r w:rsidR="00705332">
              <w:rPr>
                <w:rFonts w:eastAsia="Times New Roman"/>
                <w:color w:val="000000"/>
                <w:sz w:val="20"/>
                <w:szCs w:val="20"/>
                <w:lang w:eastAsia="en-CA"/>
              </w:rPr>
              <w:t xml:space="preserve"> </w:t>
            </w:r>
            <w:r w:rsidRPr="001067A6">
              <w:rPr>
                <w:rFonts w:eastAsia="Times New Roman"/>
                <w:color w:val="000000"/>
                <w:sz w:val="20"/>
                <w:szCs w:val="20"/>
                <w:lang w:eastAsia="en-CA"/>
              </w:rPr>
              <w:t>s</w:t>
            </w:r>
            <w:r w:rsidR="00705332">
              <w:rPr>
                <w:rFonts w:eastAsia="Times New Roman"/>
                <w:color w:val="000000"/>
                <w:sz w:val="20"/>
                <w:szCs w:val="20"/>
                <w:lang w:eastAsia="en-CA"/>
              </w:rPr>
              <w:t>uccess</w:t>
            </w:r>
            <w:r w:rsidRPr="001067A6">
              <w:rPr>
                <w:rFonts w:eastAsia="Times New Roman"/>
                <w:color w:val="000000"/>
                <w:sz w:val="20"/>
                <w:szCs w:val="20"/>
                <w:lang w:eastAsia="en-CA"/>
              </w:rPr>
              <w:t xml:space="preserve"> at all levels</w:t>
            </w:r>
            <w:r w:rsidR="007240EA">
              <w:rPr>
                <w:rFonts w:eastAsia="Times New Roman"/>
                <w:color w:val="000000"/>
                <w:sz w:val="20"/>
                <w:szCs w:val="20"/>
                <w:lang w:eastAsia="en-CA"/>
              </w:rPr>
              <w:t>,</w:t>
            </w:r>
            <w:r w:rsidRPr="001067A6">
              <w:rPr>
                <w:rFonts w:eastAsia="Times New Roman"/>
                <w:color w:val="000000"/>
                <w:sz w:val="20"/>
                <w:szCs w:val="20"/>
                <w:lang w:eastAsia="en-CA"/>
              </w:rPr>
              <w:t xml:space="preserve"> encourage high retention and </w:t>
            </w:r>
            <w:r w:rsidR="007240EA">
              <w:rPr>
                <w:rFonts w:eastAsia="Times New Roman"/>
                <w:color w:val="000000"/>
                <w:sz w:val="20"/>
                <w:szCs w:val="20"/>
                <w:lang w:eastAsia="en-CA"/>
              </w:rPr>
              <w:t xml:space="preserve">facilitate the timely completion of students’ </w:t>
            </w:r>
            <w:r w:rsidRPr="001067A6">
              <w:rPr>
                <w:rFonts w:eastAsia="Times New Roman"/>
                <w:color w:val="000000"/>
                <w:sz w:val="20"/>
                <w:szCs w:val="20"/>
                <w:lang w:eastAsia="en-CA"/>
              </w:rPr>
              <w:t>academic goals.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r>
      <w:tr w:rsidR="001F06AB" w:rsidTr="00C76DA1">
        <w:trPr>
          <w:trHeight w:val="432"/>
        </w:trPr>
        <w:tc>
          <w:tcPr>
            <w:tcW w:w="0" w:type="auto"/>
            <w:vAlign w:val="center"/>
          </w:tcPr>
          <w:p w:rsidR="001F06AB" w:rsidRPr="001067A6" w:rsidRDefault="001F06AB" w:rsidP="00535D8E">
            <w:pPr>
              <w:pStyle w:val="ListParagraph"/>
              <w:numPr>
                <w:ilvl w:val="0"/>
                <w:numId w:val="5"/>
              </w:numPr>
              <w:spacing w:before="20" w:after="20"/>
              <w:ind w:left="540"/>
              <w:rPr>
                <w:color w:val="000000"/>
                <w:sz w:val="20"/>
                <w:szCs w:val="20"/>
                <w:lang w:eastAsia="en-CA"/>
              </w:rPr>
            </w:pPr>
            <w:r w:rsidRPr="001067A6">
              <w:rPr>
                <w:color w:val="000000"/>
                <w:sz w:val="20"/>
                <w:szCs w:val="20"/>
                <w:lang w:eastAsia="en-CA"/>
              </w:rPr>
              <w:t>Develop access and program initiatives to support under-represented groups, inclu</w:t>
            </w:r>
            <w:r w:rsidR="00783B4E">
              <w:rPr>
                <w:color w:val="000000"/>
                <w:sz w:val="20"/>
                <w:szCs w:val="20"/>
                <w:lang w:eastAsia="en-CA"/>
              </w:rPr>
              <w:t xml:space="preserve">ding Aboriginal students, first </w:t>
            </w:r>
            <w:r w:rsidRPr="001067A6">
              <w:rPr>
                <w:color w:val="000000"/>
                <w:sz w:val="20"/>
                <w:szCs w:val="20"/>
                <w:lang w:eastAsia="en-CA"/>
              </w:rPr>
              <w:t>generation students, students with disabilities and internationally educated professionals.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c>
          <w:tcPr>
            <w:tcW w:w="0" w:type="auto"/>
          </w:tcPr>
          <w:p w:rsidR="001F06AB" w:rsidRDefault="001F06AB" w:rsidP="00C76DA1">
            <w:pPr>
              <w:spacing w:before="80" w:after="80"/>
            </w:pPr>
            <w:r>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color w:val="000000"/>
                <w:sz w:val="20"/>
                <w:szCs w:val="20"/>
                <w:lang w:eastAsia="en-CA"/>
              </w:rPr>
            </w:pPr>
            <w:r w:rsidRPr="001067A6">
              <w:rPr>
                <w:color w:val="000000"/>
                <w:sz w:val="20"/>
                <w:szCs w:val="20"/>
                <w:lang w:eastAsia="en-CA"/>
              </w:rPr>
              <w:t>Encourage partnership between academic departments and The G. Raymond Chang School of Continuing Education to support growth in continuing education through on-campus and distance offerings.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c>
          <w:tcPr>
            <w:tcW w:w="0" w:type="auto"/>
          </w:tcPr>
          <w:p w:rsidR="001F06AB" w:rsidRDefault="001F06AB" w:rsidP="00C76DA1">
            <w:pPr>
              <w:spacing w:before="80" w:after="80"/>
            </w:pPr>
            <w:r>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contextualSpacing w:val="0"/>
              <w:rPr>
                <w:color w:val="000000"/>
                <w:sz w:val="20"/>
                <w:szCs w:val="20"/>
                <w:lang w:eastAsia="en-CA"/>
              </w:rPr>
            </w:pPr>
            <w:r w:rsidRPr="001067A6">
              <w:rPr>
                <w:color w:val="000000"/>
                <w:sz w:val="20"/>
                <w:szCs w:val="20"/>
                <w:lang w:eastAsia="en-CA"/>
              </w:rPr>
              <w:t>Enhance pathways and transition support for students transferring from other post-secondary institutions</w:t>
            </w:r>
            <w:r w:rsidR="00013CA1" w:rsidRPr="00013CA1">
              <w:rPr>
                <w:color w:val="000000"/>
                <w:sz w:val="20"/>
                <w:szCs w:val="20"/>
                <w:lang w:eastAsia="en-CA"/>
              </w:rPr>
              <w:t>, and provide appropriate transfer credit for students’ prior learning.</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c>
          <w:tcPr>
            <w:tcW w:w="0" w:type="auto"/>
          </w:tcPr>
          <w:p w:rsidR="001F06AB" w:rsidRDefault="001F06AB" w:rsidP="00C76DA1">
            <w:pPr>
              <w:spacing w:before="80" w:after="80"/>
            </w:pPr>
            <w:r>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Recognize high-quality teaching and provide opportunities for faculty, instructors, and teaching and graduate assistants to continually develop their teaching practices and skills, and encourage the use of new and diverse learning and teaching methods.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Develop a university-wide blended e-learning strategy, which incorporates the principles of inclusive design and accessibility, in order to expand technology-enhanced and high-quality online offerings.</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p>
        </w:tc>
        <w:tc>
          <w:tcPr>
            <w:tcW w:w="0" w:type="auto"/>
          </w:tcPr>
          <w:p w:rsidR="001F06AB" w:rsidRDefault="001F06AB" w:rsidP="00C76DA1">
            <w:pPr>
              <w:spacing w:before="80" w:after="80"/>
            </w:pPr>
          </w:p>
        </w:tc>
        <w:tc>
          <w:tcPr>
            <w:tcW w:w="0" w:type="auto"/>
          </w:tcPr>
          <w:p w:rsidR="001F06AB" w:rsidRDefault="001F06AB" w:rsidP="00C76DA1">
            <w:pPr>
              <w:spacing w:before="80" w:after="80"/>
            </w:pPr>
            <w:r>
              <w:t>x</w:t>
            </w:r>
          </w:p>
        </w:tc>
      </w:tr>
      <w:tr w:rsidR="001F06AB" w:rsidTr="00C76DA1">
        <w:trPr>
          <w:trHeight w:val="432"/>
        </w:trPr>
        <w:tc>
          <w:tcPr>
            <w:tcW w:w="0" w:type="auto"/>
            <w:vAlign w:val="center"/>
          </w:tcPr>
          <w:p w:rsidR="001F06AB" w:rsidRPr="001067A6" w:rsidRDefault="001F06AB" w:rsidP="007240EA">
            <w:pPr>
              <w:pStyle w:val="ListParagraph"/>
              <w:numPr>
                <w:ilvl w:val="0"/>
                <w:numId w:val="5"/>
              </w:numPr>
              <w:spacing w:before="20" w:after="20"/>
              <w:ind w:left="540"/>
              <w:rPr>
                <w:sz w:val="20"/>
                <w:szCs w:val="20"/>
                <w:lang w:eastAsia="en-CA"/>
              </w:rPr>
            </w:pPr>
            <w:r w:rsidRPr="001067A6">
              <w:rPr>
                <w:color w:val="000000"/>
                <w:sz w:val="20"/>
                <w:szCs w:val="20"/>
                <w:lang w:eastAsia="en-CA"/>
              </w:rPr>
              <w:lastRenderedPageBreak/>
              <w:t xml:space="preserve">Encourage faculty to increasingly incorporate SRC activity into classroom learning, and </w:t>
            </w:r>
            <w:r w:rsidR="00AA6951">
              <w:rPr>
                <w:color w:val="000000"/>
                <w:sz w:val="20"/>
                <w:szCs w:val="20"/>
                <w:lang w:eastAsia="en-CA"/>
              </w:rPr>
              <w:t xml:space="preserve">to </w:t>
            </w:r>
            <w:r w:rsidRPr="001067A6">
              <w:rPr>
                <w:color w:val="000000"/>
                <w:sz w:val="20"/>
                <w:szCs w:val="20"/>
                <w:lang w:eastAsia="en-CA"/>
              </w:rPr>
              <w:t xml:space="preserve">provide </w:t>
            </w:r>
            <w:r w:rsidR="007240EA">
              <w:rPr>
                <w:color w:val="000000"/>
                <w:sz w:val="20"/>
                <w:szCs w:val="20"/>
                <w:lang w:eastAsia="en-CA"/>
              </w:rPr>
              <w:t xml:space="preserve">greater </w:t>
            </w:r>
            <w:r w:rsidRPr="001067A6">
              <w:rPr>
                <w:color w:val="000000"/>
                <w:sz w:val="20"/>
                <w:szCs w:val="20"/>
                <w:lang w:eastAsia="en-CA"/>
              </w:rPr>
              <w:t>opportunities for undergraduate and graduate student involvement with research.</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r>
              <w:t>x</w:t>
            </w:r>
          </w:p>
        </w:tc>
        <w:tc>
          <w:tcPr>
            <w:tcW w:w="0" w:type="auto"/>
          </w:tcPr>
          <w:p w:rsidR="001F06AB"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rPr>
            </w:pPr>
            <w:r w:rsidRPr="001067A6">
              <w:rPr>
                <w:sz w:val="20"/>
                <w:szCs w:val="20"/>
                <w:lang w:eastAsia="en-CA"/>
              </w:rPr>
              <w:t xml:space="preserve">Enhance the Library's role as a provider of exceptional </w:t>
            </w:r>
            <w:r w:rsidR="00546FA3">
              <w:rPr>
                <w:sz w:val="20"/>
                <w:szCs w:val="20"/>
                <w:lang w:eastAsia="en-CA"/>
              </w:rPr>
              <w:t xml:space="preserve">learning </w:t>
            </w:r>
            <w:r w:rsidRPr="001067A6">
              <w:rPr>
                <w:sz w:val="20"/>
                <w:szCs w:val="20"/>
                <w:lang w:eastAsia="en-CA"/>
              </w:rPr>
              <w:t>spaces</w:t>
            </w:r>
            <w:r w:rsidR="00546FA3">
              <w:rPr>
                <w:sz w:val="20"/>
                <w:szCs w:val="20"/>
                <w:lang w:eastAsia="en-CA"/>
              </w:rPr>
              <w:t>, quality digital and print collections,</w:t>
            </w:r>
            <w:r w:rsidRPr="001067A6">
              <w:rPr>
                <w:sz w:val="20"/>
                <w:szCs w:val="20"/>
                <w:lang w:eastAsia="en-CA"/>
              </w:rPr>
              <w:t xml:space="preserve"> and </w:t>
            </w:r>
            <w:r w:rsidR="00546FA3">
              <w:rPr>
                <w:sz w:val="20"/>
                <w:szCs w:val="20"/>
                <w:lang w:eastAsia="en-CA"/>
              </w:rPr>
              <w:t xml:space="preserve">innovative </w:t>
            </w:r>
            <w:r w:rsidRPr="001067A6">
              <w:rPr>
                <w:sz w:val="20"/>
                <w:szCs w:val="20"/>
                <w:lang w:eastAsia="en-CA"/>
              </w:rPr>
              <w:t>services for teaching, learning, research and collaboration.</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r>
              <w:t>x</w:t>
            </w:r>
          </w:p>
        </w:tc>
        <w:tc>
          <w:tcPr>
            <w:tcW w:w="0" w:type="auto"/>
          </w:tcPr>
          <w:p w:rsidR="001F06AB" w:rsidRDefault="003664B5" w:rsidP="00C76DA1">
            <w:pPr>
              <w:spacing w:before="80" w:after="80"/>
            </w:pPr>
            <w:r>
              <w:t>x</w:t>
            </w:r>
          </w:p>
        </w:tc>
        <w:tc>
          <w:tcPr>
            <w:tcW w:w="0" w:type="auto"/>
          </w:tcPr>
          <w:p w:rsidR="001F06AB" w:rsidRDefault="00570136" w:rsidP="00C76DA1">
            <w:pPr>
              <w:spacing w:before="80" w:after="80"/>
            </w:pPr>
            <w:r>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 xml:space="preserve">Attract </w:t>
            </w:r>
            <w:r w:rsidR="004B5370">
              <w:rPr>
                <w:rFonts w:eastAsia="Times New Roman"/>
                <w:color w:val="000000"/>
                <w:sz w:val="20"/>
                <w:szCs w:val="20"/>
                <w:lang w:eastAsia="en-CA"/>
              </w:rPr>
              <w:t>top</w:t>
            </w:r>
            <w:r w:rsidRPr="001067A6">
              <w:rPr>
                <w:rFonts w:eastAsia="Times New Roman"/>
                <w:color w:val="000000"/>
                <w:sz w:val="20"/>
                <w:szCs w:val="20"/>
                <w:lang w:eastAsia="en-CA"/>
              </w:rPr>
              <w:t xml:space="preserve"> graduate students by developing a strategic approach to domestic and international recruitment, and fostering excellence in graduate student supervision.</w:t>
            </w:r>
          </w:p>
        </w:tc>
        <w:tc>
          <w:tcPr>
            <w:tcW w:w="0" w:type="auto"/>
          </w:tcPr>
          <w:p w:rsidR="001F06AB" w:rsidRPr="003B080F" w:rsidRDefault="001F06AB" w:rsidP="00C76DA1">
            <w:pPr>
              <w:spacing w:before="80" w:after="80"/>
            </w:pPr>
            <w:r w:rsidRPr="003B080F">
              <w:t>x</w:t>
            </w:r>
          </w:p>
        </w:tc>
        <w:tc>
          <w:tcPr>
            <w:tcW w:w="0" w:type="auto"/>
          </w:tcPr>
          <w:p w:rsidR="001F06AB" w:rsidRDefault="001F06AB" w:rsidP="00C76DA1">
            <w:pPr>
              <w:spacing w:before="80" w:after="80"/>
            </w:pPr>
            <w:r>
              <w:t>x</w:t>
            </w:r>
          </w:p>
        </w:tc>
        <w:tc>
          <w:tcPr>
            <w:tcW w:w="0" w:type="auto"/>
          </w:tcPr>
          <w:p w:rsidR="001F06AB" w:rsidRDefault="003664B5" w:rsidP="00C76DA1">
            <w:pPr>
              <w:spacing w:before="80" w:after="80"/>
            </w:pPr>
            <w:r>
              <w:t>x</w:t>
            </w:r>
          </w:p>
        </w:tc>
        <w:tc>
          <w:tcPr>
            <w:tcW w:w="0" w:type="auto"/>
          </w:tcPr>
          <w:p w:rsidR="001F06AB"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Strengthen graduate education by introducing a new funding allocation mechanism, identifying ways to improve the administration and delivery of graduate education, and implementing policies that support program quality and timely program completion.</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c>
          <w:tcPr>
            <w:tcW w:w="0" w:type="auto"/>
          </w:tcPr>
          <w:p w:rsidR="001F06AB" w:rsidRPr="003B080F" w:rsidRDefault="001F06AB" w:rsidP="00C76DA1">
            <w:pPr>
              <w:spacing w:before="80" w:after="80"/>
            </w:pPr>
          </w:p>
        </w:tc>
      </w:tr>
      <w:tr w:rsidR="001F06AB" w:rsidTr="00C76DA1">
        <w:trPr>
          <w:trHeight w:val="432"/>
        </w:trPr>
        <w:tc>
          <w:tcPr>
            <w:tcW w:w="0" w:type="auto"/>
            <w:vAlign w:val="center"/>
          </w:tcPr>
          <w:p w:rsidR="001F06AB" w:rsidRPr="001067A6" w:rsidRDefault="004B5370" w:rsidP="00AF0794">
            <w:pPr>
              <w:pStyle w:val="ListParagraph"/>
              <w:numPr>
                <w:ilvl w:val="0"/>
                <w:numId w:val="5"/>
              </w:numPr>
              <w:spacing w:before="20" w:after="20"/>
              <w:ind w:left="540"/>
              <w:rPr>
                <w:rFonts w:eastAsia="Times New Roman"/>
                <w:color w:val="000000"/>
                <w:sz w:val="20"/>
                <w:szCs w:val="20"/>
                <w:lang w:eastAsia="en-CA"/>
              </w:rPr>
            </w:pPr>
            <w:r>
              <w:rPr>
                <w:rFonts w:eastAsia="Times New Roman"/>
                <w:color w:val="000000"/>
                <w:sz w:val="20"/>
                <w:szCs w:val="20"/>
                <w:lang w:eastAsia="en-CA"/>
              </w:rPr>
              <w:t>C</w:t>
            </w:r>
            <w:r w:rsidR="001F06AB" w:rsidRPr="001067A6">
              <w:rPr>
                <w:rFonts w:eastAsia="Times New Roman"/>
                <w:color w:val="000000"/>
                <w:sz w:val="20"/>
                <w:szCs w:val="20"/>
                <w:lang w:eastAsia="en-CA"/>
              </w:rPr>
              <w:t>ontinue master's and doctoral program development</w:t>
            </w:r>
            <w:r>
              <w:rPr>
                <w:rFonts w:eastAsia="Times New Roman"/>
                <w:color w:val="000000"/>
                <w:sz w:val="20"/>
                <w:szCs w:val="20"/>
                <w:lang w:eastAsia="en-CA"/>
              </w:rPr>
              <w:t xml:space="preserve"> s</w:t>
            </w:r>
            <w:r w:rsidRPr="001067A6">
              <w:rPr>
                <w:rFonts w:eastAsia="Times New Roman"/>
                <w:color w:val="000000"/>
                <w:sz w:val="20"/>
                <w:szCs w:val="20"/>
                <w:lang w:eastAsia="en-CA"/>
              </w:rPr>
              <w:t>ubject to appropriate government funding</w:t>
            </w:r>
            <w:r w:rsidR="001F06AB" w:rsidRPr="001067A6">
              <w:rPr>
                <w:rFonts w:eastAsia="Times New Roman"/>
                <w:color w:val="000000"/>
                <w:sz w:val="20"/>
                <w:szCs w:val="20"/>
                <w:lang w:eastAsia="en-CA"/>
              </w:rPr>
              <w:t>.</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c>
          <w:tcPr>
            <w:tcW w:w="0" w:type="auto"/>
          </w:tcPr>
          <w:p w:rsidR="001F06AB" w:rsidRPr="003B080F" w:rsidRDefault="001F06AB" w:rsidP="00C76DA1">
            <w:pPr>
              <w:spacing w:before="80" w:after="80"/>
            </w:pPr>
          </w:p>
        </w:tc>
      </w:tr>
      <w:tr w:rsidR="001F06AB" w:rsidTr="00C76DA1">
        <w:trPr>
          <w:trHeight w:val="432"/>
        </w:trPr>
        <w:tc>
          <w:tcPr>
            <w:tcW w:w="0" w:type="auto"/>
            <w:vAlign w:val="center"/>
          </w:tcPr>
          <w:p w:rsidR="001F06AB" w:rsidRPr="001067A6" w:rsidRDefault="001F06AB" w:rsidP="006F3364">
            <w:pPr>
              <w:pStyle w:val="ListParagraph"/>
              <w:numPr>
                <w:ilvl w:val="0"/>
                <w:numId w:val="5"/>
              </w:numPr>
              <w:spacing w:before="20" w:after="20"/>
              <w:ind w:left="540"/>
              <w:rPr>
                <w:sz w:val="20"/>
                <w:szCs w:val="20"/>
                <w:lang w:eastAsia="en-CA"/>
              </w:rPr>
            </w:pPr>
            <w:r w:rsidRPr="001067A6">
              <w:rPr>
                <w:sz w:val="20"/>
                <w:szCs w:val="20"/>
                <w:lang w:eastAsia="en-CA"/>
              </w:rPr>
              <w:t xml:space="preserve">Increase </w:t>
            </w:r>
            <w:r w:rsidR="006F3364">
              <w:rPr>
                <w:sz w:val="20"/>
                <w:szCs w:val="20"/>
                <w:lang w:eastAsia="en-CA"/>
              </w:rPr>
              <w:t xml:space="preserve">SRC </w:t>
            </w:r>
            <w:r w:rsidRPr="001067A6">
              <w:rPr>
                <w:sz w:val="20"/>
                <w:szCs w:val="20"/>
                <w:lang w:eastAsia="en-CA"/>
              </w:rPr>
              <w:t>quality</w:t>
            </w:r>
            <w:r w:rsidR="006F3364">
              <w:rPr>
                <w:sz w:val="20"/>
                <w:szCs w:val="20"/>
                <w:lang w:eastAsia="en-CA"/>
              </w:rPr>
              <w:t>,</w:t>
            </w:r>
            <w:r w:rsidRPr="001067A6">
              <w:rPr>
                <w:sz w:val="20"/>
                <w:szCs w:val="20"/>
                <w:lang w:eastAsia="en-CA"/>
              </w:rPr>
              <w:t xml:space="preserve"> participation </w:t>
            </w:r>
            <w:r w:rsidR="006F3364">
              <w:rPr>
                <w:sz w:val="20"/>
                <w:szCs w:val="20"/>
                <w:lang w:eastAsia="en-CA"/>
              </w:rPr>
              <w:t xml:space="preserve">and funding </w:t>
            </w:r>
            <w:r w:rsidRPr="001067A6">
              <w:rPr>
                <w:sz w:val="20"/>
                <w:szCs w:val="20"/>
                <w:lang w:eastAsia="en-CA"/>
              </w:rPr>
              <w:t>by providing a range of supports suited to researchers at every stage of the research process and throughout their careers.</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r>
      <w:tr w:rsidR="00B4612C" w:rsidTr="00C76DA1">
        <w:trPr>
          <w:trHeight w:val="432"/>
        </w:trPr>
        <w:tc>
          <w:tcPr>
            <w:tcW w:w="0" w:type="auto"/>
            <w:vAlign w:val="center"/>
          </w:tcPr>
          <w:p w:rsidR="00B4612C" w:rsidRPr="00B4612C" w:rsidRDefault="00B4612C" w:rsidP="00B4612C">
            <w:pPr>
              <w:pStyle w:val="ListParagraph"/>
              <w:numPr>
                <w:ilvl w:val="0"/>
                <w:numId w:val="5"/>
              </w:numPr>
              <w:spacing w:before="20" w:after="20"/>
              <w:ind w:left="567" w:hanging="425"/>
              <w:rPr>
                <w:sz w:val="20"/>
                <w:szCs w:val="20"/>
                <w:lang w:eastAsia="en-CA"/>
              </w:rPr>
            </w:pPr>
            <w:r>
              <w:rPr>
                <w:sz w:val="20"/>
                <w:szCs w:val="20"/>
                <w:lang w:eastAsia="en-CA"/>
              </w:rPr>
              <w:t xml:space="preserve">Streamline administrative structures, processes and resources to strengthen Ryerson’s research culture. </w:t>
            </w:r>
          </w:p>
        </w:tc>
        <w:tc>
          <w:tcPr>
            <w:tcW w:w="0" w:type="auto"/>
          </w:tcPr>
          <w:p w:rsidR="00B4612C" w:rsidRPr="003B080F" w:rsidRDefault="00B4612C" w:rsidP="00C76DA1">
            <w:pPr>
              <w:spacing w:before="80" w:after="80"/>
            </w:pPr>
          </w:p>
        </w:tc>
        <w:tc>
          <w:tcPr>
            <w:tcW w:w="0" w:type="auto"/>
          </w:tcPr>
          <w:p w:rsidR="00B4612C" w:rsidRPr="003B080F" w:rsidRDefault="00B4612C" w:rsidP="00C76DA1">
            <w:pPr>
              <w:spacing w:before="80" w:after="80"/>
            </w:pPr>
            <w:r w:rsidRPr="003B080F">
              <w:t>x</w:t>
            </w:r>
          </w:p>
        </w:tc>
        <w:tc>
          <w:tcPr>
            <w:tcW w:w="0" w:type="auto"/>
          </w:tcPr>
          <w:p w:rsidR="00B4612C" w:rsidRPr="003B080F" w:rsidRDefault="00B4612C" w:rsidP="00C76DA1">
            <w:pPr>
              <w:spacing w:before="80" w:after="80"/>
            </w:pPr>
            <w:r w:rsidRPr="003B080F">
              <w:t>x</w:t>
            </w:r>
          </w:p>
        </w:tc>
        <w:tc>
          <w:tcPr>
            <w:tcW w:w="0" w:type="auto"/>
          </w:tcPr>
          <w:p w:rsidR="00B4612C" w:rsidRPr="003B080F" w:rsidRDefault="00B4612C" w:rsidP="00C76DA1">
            <w:pPr>
              <w:spacing w:before="80" w:after="80"/>
            </w:pPr>
            <w:r w:rsidRPr="003B080F">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Expand SRC partnerships and sponsored research with industry, government, and community organizations as well as other academic institutions, locally, nationally and internationally to drive innovation and increase socio-economic impact</w:t>
            </w:r>
            <w:r w:rsidR="006F3364">
              <w:rPr>
                <w:sz w:val="20"/>
                <w:szCs w:val="20"/>
                <w:lang w:eastAsia="en-CA"/>
              </w:rPr>
              <w:t>s</w:t>
            </w:r>
            <w:r w:rsidRPr="001067A6">
              <w:rPr>
                <w:sz w:val="20"/>
                <w:szCs w:val="20"/>
                <w:lang w:eastAsia="en-CA"/>
              </w:rPr>
              <w:t>.</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r>
      <w:tr w:rsidR="001F06AB" w:rsidTr="00C76DA1">
        <w:trPr>
          <w:trHeight w:val="432"/>
        </w:trPr>
        <w:tc>
          <w:tcPr>
            <w:tcW w:w="0" w:type="auto"/>
            <w:vAlign w:val="center"/>
          </w:tcPr>
          <w:p w:rsidR="00F60304" w:rsidRPr="00F60304" w:rsidRDefault="00F60304" w:rsidP="00F60304">
            <w:pPr>
              <w:pStyle w:val="ListParagraph"/>
              <w:numPr>
                <w:ilvl w:val="0"/>
                <w:numId w:val="5"/>
              </w:numPr>
              <w:spacing w:before="20" w:after="20"/>
              <w:ind w:left="567" w:hanging="425"/>
              <w:rPr>
                <w:sz w:val="20"/>
                <w:szCs w:val="20"/>
                <w:lang w:eastAsia="en-CA"/>
              </w:rPr>
            </w:pPr>
            <w:r>
              <w:rPr>
                <w:sz w:val="20"/>
                <w:szCs w:val="20"/>
                <w:lang w:eastAsia="en-CA"/>
              </w:rPr>
              <w:t>Strengthen collaboration across the university and with partners on cross-disciplinary themes by l</w:t>
            </w:r>
            <w:r w:rsidRPr="001067A6">
              <w:rPr>
                <w:sz w:val="20"/>
                <w:szCs w:val="20"/>
                <w:lang w:eastAsia="en-CA"/>
              </w:rPr>
              <w:t>everag</w:t>
            </w:r>
            <w:r>
              <w:rPr>
                <w:sz w:val="20"/>
                <w:szCs w:val="20"/>
                <w:lang w:eastAsia="en-CA"/>
              </w:rPr>
              <w:t>ing</w:t>
            </w:r>
            <w:r w:rsidRPr="001067A6">
              <w:rPr>
                <w:sz w:val="20"/>
                <w:szCs w:val="20"/>
                <w:lang w:eastAsia="en-CA"/>
              </w:rPr>
              <w:t xml:space="preserve"> </w:t>
            </w:r>
            <w:r w:rsidR="001F06AB" w:rsidRPr="001067A6">
              <w:rPr>
                <w:sz w:val="20"/>
                <w:szCs w:val="20"/>
                <w:lang w:eastAsia="en-CA"/>
              </w:rPr>
              <w:t>expertise across disciplines to expand commercialization, knowledge translation and mobilization capacity of researchers and the university.</w:t>
            </w:r>
          </w:p>
        </w:tc>
        <w:tc>
          <w:tcPr>
            <w:tcW w:w="0" w:type="auto"/>
          </w:tcPr>
          <w:p w:rsidR="001F06AB" w:rsidRPr="003B080F" w:rsidRDefault="001F06AB" w:rsidP="00C76DA1">
            <w:pPr>
              <w:spacing w:before="80" w:after="80"/>
            </w:pP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Support increased research dissemination through traditional and non-traditional channels, and publicize the SRC achievements of Ryerson faculty and stude</w:t>
            </w:r>
            <w:r w:rsidR="00483E8D">
              <w:rPr>
                <w:sz w:val="20"/>
                <w:szCs w:val="20"/>
                <w:lang w:eastAsia="en-CA"/>
              </w:rPr>
              <w:t>nts to further build reputation and</w:t>
            </w:r>
            <w:r w:rsidRPr="001067A6">
              <w:rPr>
                <w:sz w:val="20"/>
                <w:szCs w:val="20"/>
                <w:lang w:eastAsia="en-CA"/>
              </w:rPr>
              <w:t xml:space="preserve"> attract high quality students, faculty and partners.</w:t>
            </w:r>
          </w:p>
        </w:tc>
        <w:tc>
          <w:tcPr>
            <w:tcW w:w="0" w:type="auto"/>
          </w:tcPr>
          <w:p w:rsidR="001F06AB" w:rsidRPr="003B080F" w:rsidRDefault="001F06AB" w:rsidP="00C76DA1">
            <w:pPr>
              <w:spacing w:before="80" w:after="80"/>
            </w:pP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sz w:val="20"/>
                <w:szCs w:val="20"/>
                <w:lang w:eastAsia="en-CA"/>
              </w:rPr>
            </w:pPr>
            <w:r w:rsidRPr="001067A6">
              <w:rPr>
                <w:sz w:val="20"/>
                <w:szCs w:val="20"/>
                <w:lang w:eastAsia="en-CA"/>
              </w:rPr>
              <w:t>Implement financially-sustainable mechanisms and initiatives to leverage and coordinate entrepreneurship and innovation building activities across the university, and provide structures, frameworks and collaborative spaces to permit and support multidisciplinary participation</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color w:val="000000"/>
                <w:sz w:val="20"/>
                <w:szCs w:val="20"/>
                <w:lang w:eastAsia="en-CA"/>
              </w:rPr>
            </w:pPr>
            <w:r w:rsidRPr="001067A6">
              <w:rPr>
                <w:color w:val="000000"/>
                <w:sz w:val="20"/>
                <w:szCs w:val="20"/>
                <w:lang w:eastAsia="en-CA"/>
              </w:rPr>
              <w:t xml:space="preserve">Support and encourage entrepreneurship and innovation across a greater number of disciplines through new initiatives that will </w:t>
            </w:r>
            <w:r w:rsidR="00632033">
              <w:rPr>
                <w:color w:val="000000"/>
                <w:sz w:val="20"/>
                <w:szCs w:val="20"/>
                <w:lang w:eastAsia="en-CA"/>
              </w:rPr>
              <w:t>complement</w:t>
            </w:r>
            <w:r w:rsidRPr="001067A6">
              <w:rPr>
                <w:color w:val="000000"/>
                <w:sz w:val="20"/>
                <w:szCs w:val="20"/>
                <w:lang w:eastAsia="en-CA"/>
              </w:rPr>
              <w:t xml:space="preserve"> the curriculum.</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color w:val="000000"/>
                <w:sz w:val="20"/>
                <w:szCs w:val="20"/>
                <w:lang w:eastAsia="en-CA"/>
              </w:rPr>
            </w:pPr>
            <w:r w:rsidRPr="001067A6">
              <w:rPr>
                <w:color w:val="000000"/>
                <w:sz w:val="20"/>
                <w:szCs w:val="20"/>
                <w:lang w:eastAsia="en-CA"/>
              </w:rPr>
              <w:t>Develop and expand Ryerson's experiential zone learning concept in a manner that encourages the participation of students and faculty from a greater number of disciplines.</w:t>
            </w:r>
          </w:p>
        </w:tc>
        <w:tc>
          <w:tcPr>
            <w:tcW w:w="0" w:type="auto"/>
          </w:tcPr>
          <w:p w:rsidR="001F06AB" w:rsidRPr="003B080F" w:rsidRDefault="001F06AB" w:rsidP="00C76DA1">
            <w:pPr>
              <w:spacing w:before="80" w:after="80"/>
            </w:pPr>
            <w:r w:rsidRPr="003B080F">
              <w:t>x</w:t>
            </w:r>
          </w:p>
        </w:tc>
        <w:tc>
          <w:tcPr>
            <w:tcW w:w="0" w:type="auto"/>
          </w:tcPr>
          <w:p w:rsidR="001F06AB" w:rsidRPr="003B080F" w:rsidRDefault="003664B5" w:rsidP="00C76DA1">
            <w:pPr>
              <w:spacing w:before="80" w:after="80"/>
            </w:pPr>
            <w:r>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Foster a culture of philanthropy through all of the university’s constituent communities, and seek increased engagement with donors to support and realize the university’s priorities.</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r>
      <w:tr w:rsidR="001F06AB" w:rsidTr="00C76DA1">
        <w:trPr>
          <w:trHeight w:val="432"/>
        </w:trPr>
        <w:tc>
          <w:tcPr>
            <w:tcW w:w="0" w:type="auto"/>
            <w:vAlign w:val="center"/>
          </w:tcPr>
          <w:p w:rsidR="001F06AB" w:rsidRPr="001067A6" w:rsidRDefault="001F06AB" w:rsidP="00AF0794">
            <w:pPr>
              <w:pStyle w:val="ListParagraph"/>
              <w:numPr>
                <w:ilvl w:val="0"/>
                <w:numId w:val="5"/>
              </w:numPr>
              <w:spacing w:before="20" w:after="20"/>
              <w:ind w:left="540"/>
              <w:rPr>
                <w:rFonts w:eastAsia="Times New Roman"/>
                <w:color w:val="000000"/>
                <w:sz w:val="20"/>
                <w:szCs w:val="20"/>
                <w:lang w:eastAsia="en-CA"/>
              </w:rPr>
            </w:pPr>
            <w:r w:rsidRPr="001067A6">
              <w:rPr>
                <w:rFonts w:eastAsia="Times New Roman"/>
                <w:color w:val="000000"/>
                <w:sz w:val="20"/>
                <w:szCs w:val="20"/>
                <w:lang w:eastAsia="en-CA"/>
              </w:rPr>
              <w:t>Create transitional pathways leading current students to become engaged alumni who can remain involved in the university after graduation.</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c>
          <w:tcPr>
            <w:tcW w:w="0" w:type="auto"/>
          </w:tcPr>
          <w:p w:rsidR="001F06AB" w:rsidRPr="003B080F" w:rsidRDefault="001F06AB" w:rsidP="00C76DA1">
            <w:pPr>
              <w:spacing w:before="80" w:after="80"/>
            </w:pPr>
            <w:r w:rsidRPr="003B080F">
              <w:t>x</w:t>
            </w:r>
          </w:p>
        </w:tc>
      </w:tr>
      <w:tr w:rsidR="00237DA9" w:rsidTr="00C76DA1">
        <w:trPr>
          <w:trHeight w:val="432"/>
        </w:trPr>
        <w:tc>
          <w:tcPr>
            <w:tcW w:w="0" w:type="auto"/>
            <w:vAlign w:val="center"/>
          </w:tcPr>
          <w:p w:rsidR="00237DA9" w:rsidRPr="001067A6" w:rsidRDefault="00237DA9" w:rsidP="00535D8E">
            <w:pPr>
              <w:pStyle w:val="ListParagraph"/>
              <w:numPr>
                <w:ilvl w:val="0"/>
                <w:numId w:val="5"/>
              </w:numPr>
              <w:spacing w:before="20" w:after="20"/>
              <w:ind w:left="540"/>
              <w:rPr>
                <w:rFonts w:eastAsia="Times New Roman"/>
                <w:sz w:val="20"/>
                <w:szCs w:val="20"/>
                <w:lang w:eastAsia="en-CA"/>
              </w:rPr>
            </w:pPr>
            <w:r>
              <w:rPr>
                <w:rFonts w:eastAsia="Times New Roman"/>
                <w:sz w:val="20"/>
                <w:szCs w:val="20"/>
                <w:lang w:eastAsia="en-CA"/>
              </w:rPr>
              <w:lastRenderedPageBreak/>
              <w:t>C</w:t>
            </w:r>
            <w:r w:rsidRPr="004B5370">
              <w:rPr>
                <w:rFonts w:eastAsia="Times New Roman"/>
                <w:sz w:val="20"/>
                <w:szCs w:val="20"/>
                <w:lang w:eastAsia="en-CA"/>
              </w:rPr>
              <w:t xml:space="preserve">ultivate relationships with Aboriginal communities and students to create an educational environment that embraces and supports Aboriginal perspectives and experiences, and builds community for Aboriginal </w:t>
            </w:r>
            <w:r w:rsidR="00535D8E">
              <w:rPr>
                <w:rFonts w:eastAsia="Times New Roman"/>
                <w:sz w:val="20"/>
                <w:szCs w:val="20"/>
                <w:lang w:eastAsia="en-CA"/>
              </w:rPr>
              <w:t>people</w:t>
            </w:r>
            <w:r>
              <w:rPr>
                <w:rFonts w:eastAsia="Times New Roman"/>
                <w:sz w:val="20"/>
                <w:szCs w:val="20"/>
                <w:lang w:eastAsia="en-CA"/>
              </w:rPr>
              <w:t>.</w:t>
            </w:r>
          </w:p>
        </w:tc>
        <w:tc>
          <w:tcPr>
            <w:tcW w:w="0" w:type="auto"/>
          </w:tcPr>
          <w:p w:rsidR="00237DA9" w:rsidRPr="003B080F" w:rsidRDefault="00237DA9" w:rsidP="00C76DA1">
            <w:pPr>
              <w:spacing w:before="80" w:after="80"/>
            </w:pPr>
            <w:r w:rsidRPr="003B080F">
              <w:t>x</w:t>
            </w:r>
          </w:p>
        </w:tc>
        <w:tc>
          <w:tcPr>
            <w:tcW w:w="0" w:type="auto"/>
          </w:tcPr>
          <w:p w:rsidR="00237DA9" w:rsidRPr="003B080F" w:rsidRDefault="00237DA9" w:rsidP="00C76DA1">
            <w:pPr>
              <w:spacing w:before="80" w:after="80"/>
            </w:pPr>
            <w:r w:rsidRPr="003B080F">
              <w:t>x</w:t>
            </w:r>
          </w:p>
        </w:tc>
        <w:tc>
          <w:tcPr>
            <w:tcW w:w="0" w:type="auto"/>
          </w:tcPr>
          <w:p w:rsidR="00237DA9" w:rsidRPr="003B080F" w:rsidRDefault="00237DA9" w:rsidP="00C76DA1">
            <w:pPr>
              <w:spacing w:before="80" w:after="80"/>
            </w:pPr>
          </w:p>
        </w:tc>
        <w:tc>
          <w:tcPr>
            <w:tcW w:w="0" w:type="auto"/>
          </w:tcPr>
          <w:p w:rsidR="00237DA9" w:rsidRPr="003B080F" w:rsidRDefault="00237DA9" w:rsidP="00C76DA1">
            <w:pPr>
              <w:spacing w:before="80" w:after="80"/>
            </w:pPr>
            <w:r w:rsidRPr="003B080F">
              <w:t>x</w:t>
            </w:r>
          </w:p>
        </w:tc>
      </w:tr>
      <w:tr w:rsidR="00237DA9" w:rsidTr="00C76DA1">
        <w:trPr>
          <w:trHeight w:val="432"/>
        </w:trPr>
        <w:tc>
          <w:tcPr>
            <w:tcW w:w="0" w:type="auto"/>
            <w:vAlign w:val="center"/>
          </w:tcPr>
          <w:p w:rsidR="00237DA9" w:rsidRPr="001067A6" w:rsidRDefault="00237DA9" w:rsidP="00AF0794">
            <w:pPr>
              <w:pStyle w:val="ListParagraph"/>
              <w:numPr>
                <w:ilvl w:val="0"/>
                <w:numId w:val="5"/>
              </w:numPr>
              <w:spacing w:before="20" w:after="20"/>
              <w:ind w:left="540"/>
              <w:rPr>
                <w:rFonts w:eastAsia="Times New Roman"/>
                <w:sz w:val="20"/>
                <w:szCs w:val="20"/>
                <w:lang w:eastAsia="en-CA"/>
              </w:rPr>
            </w:pPr>
            <w:r w:rsidRPr="004B5370">
              <w:rPr>
                <w:rFonts w:eastAsia="Times New Roman"/>
                <w:sz w:val="20"/>
                <w:szCs w:val="20"/>
                <w:lang w:eastAsia="en-CA"/>
              </w:rPr>
              <w:t>Develop a university-wide community engagement and communications strategy that values equity, diversity and inclusion</w:t>
            </w:r>
            <w:r w:rsidR="006F3364">
              <w:rPr>
                <w:rFonts w:eastAsia="Times New Roman"/>
                <w:sz w:val="20"/>
                <w:szCs w:val="20"/>
                <w:lang w:eastAsia="en-CA"/>
              </w:rPr>
              <w:t xml:space="preserve"> and </w:t>
            </w:r>
            <w:r w:rsidRPr="004B5370">
              <w:rPr>
                <w:rFonts w:eastAsia="Times New Roman"/>
                <w:sz w:val="20"/>
                <w:szCs w:val="20"/>
                <w:lang w:eastAsia="en-CA"/>
              </w:rPr>
              <w:t>leverages current engagement activity</w:t>
            </w:r>
            <w:r>
              <w:rPr>
                <w:rFonts w:eastAsia="Times New Roman"/>
                <w:sz w:val="20"/>
                <w:szCs w:val="20"/>
                <w:lang w:eastAsia="en-CA"/>
              </w:rPr>
              <w:t>;</w:t>
            </w:r>
            <w:r w:rsidRPr="004B5370">
              <w:rPr>
                <w:rFonts w:eastAsia="Times New Roman"/>
                <w:sz w:val="20"/>
                <w:szCs w:val="20"/>
                <w:lang w:eastAsia="en-CA"/>
              </w:rPr>
              <w:t xml:space="preserve"> and builds a more visible Ryerson presence in particular communities</w:t>
            </w:r>
          </w:p>
        </w:tc>
        <w:tc>
          <w:tcPr>
            <w:tcW w:w="0" w:type="auto"/>
          </w:tcPr>
          <w:p w:rsidR="00237DA9" w:rsidRPr="003B080F" w:rsidRDefault="00237DA9" w:rsidP="00C76DA1">
            <w:pPr>
              <w:spacing w:before="80" w:after="80"/>
            </w:pPr>
            <w:r w:rsidRPr="003B080F">
              <w:t>x</w:t>
            </w:r>
          </w:p>
        </w:tc>
        <w:tc>
          <w:tcPr>
            <w:tcW w:w="0" w:type="auto"/>
          </w:tcPr>
          <w:p w:rsidR="00237DA9" w:rsidRPr="003B080F" w:rsidRDefault="00237DA9" w:rsidP="00C76DA1">
            <w:pPr>
              <w:spacing w:before="80" w:after="80"/>
            </w:pPr>
          </w:p>
        </w:tc>
        <w:tc>
          <w:tcPr>
            <w:tcW w:w="0" w:type="auto"/>
          </w:tcPr>
          <w:p w:rsidR="00237DA9" w:rsidRPr="003B080F" w:rsidRDefault="00237DA9" w:rsidP="00C76DA1">
            <w:pPr>
              <w:spacing w:before="80" w:after="80"/>
            </w:pPr>
          </w:p>
        </w:tc>
        <w:tc>
          <w:tcPr>
            <w:tcW w:w="0" w:type="auto"/>
          </w:tcPr>
          <w:p w:rsidR="00237DA9" w:rsidRPr="003B080F" w:rsidRDefault="00237DA9" w:rsidP="00C76DA1">
            <w:pPr>
              <w:spacing w:before="80" w:after="80"/>
            </w:pPr>
            <w:r w:rsidRPr="003B080F">
              <w:t>x</w:t>
            </w:r>
          </w:p>
        </w:tc>
      </w:tr>
      <w:tr w:rsidR="00237DA9" w:rsidTr="00C76DA1">
        <w:trPr>
          <w:trHeight w:val="432"/>
        </w:trPr>
        <w:tc>
          <w:tcPr>
            <w:tcW w:w="0" w:type="auto"/>
            <w:vAlign w:val="center"/>
          </w:tcPr>
          <w:p w:rsidR="00237DA9" w:rsidRPr="001067A6" w:rsidRDefault="00237DA9" w:rsidP="00AF0794">
            <w:pPr>
              <w:pStyle w:val="ListParagraph"/>
              <w:numPr>
                <w:ilvl w:val="0"/>
                <w:numId w:val="5"/>
              </w:numPr>
              <w:spacing w:before="20" w:after="20"/>
              <w:ind w:left="540"/>
              <w:rPr>
                <w:rFonts w:eastAsia="Times New Roman"/>
                <w:sz w:val="20"/>
                <w:szCs w:val="20"/>
                <w:lang w:eastAsia="en-CA"/>
              </w:rPr>
            </w:pPr>
            <w:r w:rsidRPr="001067A6">
              <w:rPr>
                <w:rFonts w:eastAsia="Times New Roman"/>
                <w:sz w:val="20"/>
                <w:szCs w:val="20"/>
                <w:lang w:eastAsia="en-CA"/>
              </w:rPr>
              <w:t>Expand engagement with local, national and international external organizations to enrich student experiences and inclusion, increase civic engagement, and create valuable academic, research and innovation opportunities that contribute to Ryerson’s profile and impact as a city-building university.</w:t>
            </w:r>
          </w:p>
        </w:tc>
        <w:tc>
          <w:tcPr>
            <w:tcW w:w="0" w:type="auto"/>
          </w:tcPr>
          <w:p w:rsidR="00237DA9" w:rsidRPr="003B080F" w:rsidRDefault="00237DA9" w:rsidP="00C76DA1">
            <w:pPr>
              <w:spacing w:before="80" w:after="80"/>
            </w:pPr>
            <w:r w:rsidRPr="003B080F">
              <w:t>x</w:t>
            </w:r>
          </w:p>
        </w:tc>
        <w:tc>
          <w:tcPr>
            <w:tcW w:w="0" w:type="auto"/>
          </w:tcPr>
          <w:p w:rsidR="00237DA9" w:rsidRPr="003B080F" w:rsidRDefault="00237DA9" w:rsidP="00C76DA1">
            <w:pPr>
              <w:spacing w:before="80" w:after="80"/>
            </w:pPr>
            <w:r w:rsidRPr="003B080F">
              <w:t>x</w:t>
            </w:r>
          </w:p>
        </w:tc>
        <w:tc>
          <w:tcPr>
            <w:tcW w:w="0" w:type="auto"/>
          </w:tcPr>
          <w:p w:rsidR="00237DA9" w:rsidRPr="003B080F" w:rsidRDefault="00237DA9" w:rsidP="00C76DA1">
            <w:pPr>
              <w:spacing w:before="80" w:after="80"/>
            </w:pPr>
            <w:r w:rsidRPr="003B080F">
              <w:t>x</w:t>
            </w:r>
          </w:p>
        </w:tc>
        <w:tc>
          <w:tcPr>
            <w:tcW w:w="0" w:type="auto"/>
          </w:tcPr>
          <w:p w:rsidR="00237DA9" w:rsidRPr="003B080F" w:rsidRDefault="00237DA9" w:rsidP="00C76DA1">
            <w:pPr>
              <w:spacing w:before="80" w:after="80"/>
            </w:pPr>
            <w:r w:rsidRPr="003B080F">
              <w:t>x</w:t>
            </w:r>
          </w:p>
        </w:tc>
      </w:tr>
    </w:tbl>
    <w:p w:rsidR="006421D1" w:rsidRDefault="006421D1" w:rsidP="00681A23"/>
    <w:sectPr w:rsidR="006421D1" w:rsidSect="00554C13">
      <w:pgSz w:w="15840" w:h="12240" w:orient="landscape"/>
      <w:pgMar w:top="1440" w:right="1440" w:bottom="1440" w:left="993" w:header="720" w:footer="8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AE" w:rsidRDefault="00A826AE" w:rsidP="00EB231C">
      <w:r>
        <w:separator/>
      </w:r>
    </w:p>
    <w:p w:rsidR="00A826AE" w:rsidRDefault="00A826AE"/>
    <w:p w:rsidR="00A826AE" w:rsidRDefault="00A826AE" w:rsidP="007764B9"/>
  </w:endnote>
  <w:endnote w:type="continuationSeparator" w:id="0">
    <w:p w:rsidR="00A826AE" w:rsidRDefault="00A826AE" w:rsidP="00EB231C">
      <w:r>
        <w:continuationSeparator/>
      </w:r>
    </w:p>
    <w:p w:rsidR="00A826AE" w:rsidRDefault="00A826AE"/>
    <w:p w:rsidR="00A826AE" w:rsidRDefault="00A826AE" w:rsidP="007764B9"/>
  </w:endnote>
  <w:endnote w:type="continuationNotice" w:id="1">
    <w:p w:rsidR="00A826AE" w:rsidRDefault="00A82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947031"/>
      <w:docPartObj>
        <w:docPartGallery w:val="Page Numbers (Bottom of Page)"/>
        <w:docPartUnique/>
      </w:docPartObj>
    </w:sdtPr>
    <w:sdtEndPr>
      <w:rPr>
        <w:noProof/>
      </w:rPr>
    </w:sdtEndPr>
    <w:sdtContent>
      <w:p w:rsidR="00920DF2" w:rsidRDefault="00920DF2" w:rsidP="00EB231C">
        <w:pPr>
          <w:pStyle w:val="Footer"/>
        </w:pPr>
        <w:r>
          <w:t xml:space="preserve">Page | </w:t>
        </w:r>
        <w:r w:rsidR="0005783A">
          <w:fldChar w:fldCharType="begin"/>
        </w:r>
        <w:r>
          <w:instrText xml:space="preserve"> PAGE   \* MERGEFORMAT </w:instrText>
        </w:r>
        <w:r w:rsidR="0005783A">
          <w:fldChar w:fldCharType="separate"/>
        </w:r>
        <w:r>
          <w:rPr>
            <w:noProof/>
          </w:rPr>
          <w:t>1</w:t>
        </w:r>
        <w:r w:rsidR="0005783A">
          <w:rPr>
            <w:noProof/>
          </w:rPr>
          <w:fldChar w:fldCharType="end"/>
        </w:r>
      </w:p>
    </w:sdtContent>
  </w:sdt>
  <w:p w:rsidR="00920DF2" w:rsidRDefault="00920DF2" w:rsidP="00EB2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379072"/>
      <w:docPartObj>
        <w:docPartGallery w:val="Page Numbers (Bottom of Page)"/>
        <w:docPartUnique/>
      </w:docPartObj>
    </w:sdtPr>
    <w:sdtEndPr>
      <w:rPr>
        <w:noProof/>
      </w:rPr>
    </w:sdtEndPr>
    <w:sdtContent>
      <w:p w:rsidR="00920DF2" w:rsidRPr="00EC302A" w:rsidRDefault="00920DF2" w:rsidP="00E02A98">
        <w:pPr>
          <w:pStyle w:val="Footer"/>
          <w:spacing w:before="240"/>
        </w:pPr>
        <w:r w:rsidRPr="00EC302A">
          <w:t xml:space="preserve">Page | </w:t>
        </w:r>
        <w:r w:rsidR="0005783A">
          <w:fldChar w:fldCharType="begin"/>
        </w:r>
        <w:r>
          <w:instrText xml:space="preserve"> PAGE   \* MERGEFORMAT </w:instrText>
        </w:r>
        <w:r w:rsidR="0005783A">
          <w:fldChar w:fldCharType="separate"/>
        </w:r>
        <w:r w:rsidR="006F1213">
          <w:rPr>
            <w:noProof/>
          </w:rPr>
          <w:t>ii</w:t>
        </w:r>
        <w:r w:rsidR="0005783A">
          <w:fldChar w:fldCharType="end"/>
        </w:r>
      </w:p>
    </w:sdtContent>
  </w:sdt>
  <w:p w:rsidR="00920DF2" w:rsidRDefault="00920DF2" w:rsidP="00EB2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691337"/>
      <w:docPartObj>
        <w:docPartGallery w:val="Page Numbers (Bottom of Page)"/>
        <w:docPartUnique/>
      </w:docPartObj>
    </w:sdtPr>
    <w:sdtEndPr>
      <w:rPr>
        <w:noProof/>
      </w:rPr>
    </w:sdtEndPr>
    <w:sdtContent>
      <w:p w:rsidR="00920DF2" w:rsidRPr="00EC302A" w:rsidRDefault="00920DF2" w:rsidP="00E02A98">
        <w:pPr>
          <w:pStyle w:val="Footer"/>
          <w:spacing w:before="240"/>
        </w:pPr>
        <w:r w:rsidRPr="00EC302A">
          <w:t xml:space="preserve">Page | </w:t>
        </w:r>
        <w:r w:rsidR="0005783A">
          <w:fldChar w:fldCharType="begin"/>
        </w:r>
        <w:r>
          <w:instrText xml:space="preserve"> PAGE   \* MERGEFORMAT </w:instrText>
        </w:r>
        <w:r w:rsidR="0005783A">
          <w:fldChar w:fldCharType="separate"/>
        </w:r>
        <w:r w:rsidR="006F1213">
          <w:rPr>
            <w:noProof/>
          </w:rPr>
          <w:t>3</w:t>
        </w:r>
        <w:r w:rsidR="0005783A">
          <w:fldChar w:fldCharType="end"/>
        </w:r>
      </w:p>
    </w:sdtContent>
  </w:sdt>
  <w:p w:rsidR="00920DF2" w:rsidRDefault="00920DF2" w:rsidP="00EB2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AE" w:rsidRDefault="00A826AE" w:rsidP="00EB231C">
      <w:r>
        <w:separator/>
      </w:r>
    </w:p>
    <w:p w:rsidR="00A826AE" w:rsidRDefault="00A826AE"/>
    <w:p w:rsidR="00A826AE" w:rsidRDefault="00A826AE" w:rsidP="007764B9"/>
  </w:footnote>
  <w:footnote w:type="continuationSeparator" w:id="0">
    <w:p w:rsidR="00A826AE" w:rsidRDefault="00A826AE" w:rsidP="00EB231C">
      <w:r>
        <w:continuationSeparator/>
      </w:r>
    </w:p>
    <w:p w:rsidR="00A826AE" w:rsidRDefault="00A826AE"/>
    <w:p w:rsidR="00A826AE" w:rsidRDefault="00A826AE" w:rsidP="007764B9"/>
  </w:footnote>
  <w:footnote w:type="continuationNotice" w:id="1">
    <w:p w:rsidR="00A826AE" w:rsidRDefault="00A826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F2" w:rsidRPr="00961A02" w:rsidRDefault="00920DF2" w:rsidP="006B10E0">
    <w:pPr>
      <w:pStyle w:val="Header"/>
      <w:spacing w:before="360"/>
      <w:rPr>
        <w:lang w:val="en-US"/>
      </w:rPr>
    </w:pPr>
    <w:r>
      <w:rPr>
        <w:lang w:val="en-US"/>
      </w:rPr>
      <w:t>June.03.2014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474DA"/>
    <w:multiLevelType w:val="hybridMultilevel"/>
    <w:tmpl w:val="C49C4AFC"/>
    <w:lvl w:ilvl="0" w:tplc="70BA339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10431"/>
    <w:multiLevelType w:val="hybridMultilevel"/>
    <w:tmpl w:val="F55EAC6E"/>
    <w:lvl w:ilvl="0" w:tplc="1009000F">
      <w:start w:val="1"/>
      <w:numFmt w:val="decimal"/>
      <w:lvlText w:val="%1."/>
      <w:lvlJc w:val="left"/>
      <w:pPr>
        <w:ind w:left="459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9DF637D"/>
    <w:multiLevelType w:val="hybridMultilevel"/>
    <w:tmpl w:val="D79AEEEA"/>
    <w:lvl w:ilvl="0" w:tplc="484E41E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F7B7F"/>
    <w:multiLevelType w:val="hybridMultilevel"/>
    <w:tmpl w:val="16AE8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543A27"/>
    <w:multiLevelType w:val="hybridMultilevel"/>
    <w:tmpl w:val="49C67E88"/>
    <w:lvl w:ilvl="0" w:tplc="484E41E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17574E"/>
    <w:multiLevelType w:val="hybridMultilevel"/>
    <w:tmpl w:val="A290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804C2"/>
    <w:multiLevelType w:val="multilevel"/>
    <w:tmpl w:val="548AB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B065FF3"/>
    <w:multiLevelType w:val="hybridMultilevel"/>
    <w:tmpl w:val="74C8941C"/>
    <w:lvl w:ilvl="0" w:tplc="484E41E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3"/>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99"/>
    <w:rsid w:val="000017DE"/>
    <w:rsid w:val="00003482"/>
    <w:rsid w:val="00004177"/>
    <w:rsid w:val="000059B3"/>
    <w:rsid w:val="00006E7C"/>
    <w:rsid w:val="0001301D"/>
    <w:rsid w:val="00013CA1"/>
    <w:rsid w:val="00015BDF"/>
    <w:rsid w:val="000179FB"/>
    <w:rsid w:val="00021BE2"/>
    <w:rsid w:val="00025E82"/>
    <w:rsid w:val="000263B8"/>
    <w:rsid w:val="00026A61"/>
    <w:rsid w:val="000276D4"/>
    <w:rsid w:val="0003040A"/>
    <w:rsid w:val="0004014A"/>
    <w:rsid w:val="0004089E"/>
    <w:rsid w:val="00042D6D"/>
    <w:rsid w:val="000434BE"/>
    <w:rsid w:val="00044688"/>
    <w:rsid w:val="00045642"/>
    <w:rsid w:val="00046AA0"/>
    <w:rsid w:val="0005249D"/>
    <w:rsid w:val="00053C9F"/>
    <w:rsid w:val="000541E4"/>
    <w:rsid w:val="00055D04"/>
    <w:rsid w:val="00056326"/>
    <w:rsid w:val="0005783A"/>
    <w:rsid w:val="000617FD"/>
    <w:rsid w:val="000651F9"/>
    <w:rsid w:val="00065260"/>
    <w:rsid w:val="000667A2"/>
    <w:rsid w:val="00070DA7"/>
    <w:rsid w:val="00071C05"/>
    <w:rsid w:val="00073BEC"/>
    <w:rsid w:val="00075430"/>
    <w:rsid w:val="00077848"/>
    <w:rsid w:val="00080E6F"/>
    <w:rsid w:val="00080EA4"/>
    <w:rsid w:val="000826A9"/>
    <w:rsid w:val="00085023"/>
    <w:rsid w:val="00087D9A"/>
    <w:rsid w:val="00087F3C"/>
    <w:rsid w:val="0009034D"/>
    <w:rsid w:val="0009082E"/>
    <w:rsid w:val="0009273F"/>
    <w:rsid w:val="00095262"/>
    <w:rsid w:val="00095364"/>
    <w:rsid w:val="000957A3"/>
    <w:rsid w:val="00096C2F"/>
    <w:rsid w:val="00097BB4"/>
    <w:rsid w:val="000A0B23"/>
    <w:rsid w:val="000A311D"/>
    <w:rsid w:val="000A455E"/>
    <w:rsid w:val="000A475D"/>
    <w:rsid w:val="000A4A56"/>
    <w:rsid w:val="000A5794"/>
    <w:rsid w:val="000A5FE8"/>
    <w:rsid w:val="000A67EA"/>
    <w:rsid w:val="000B0AA8"/>
    <w:rsid w:val="000B3482"/>
    <w:rsid w:val="000B5400"/>
    <w:rsid w:val="000B5EDF"/>
    <w:rsid w:val="000B704E"/>
    <w:rsid w:val="000C01FA"/>
    <w:rsid w:val="000C1057"/>
    <w:rsid w:val="000C1C14"/>
    <w:rsid w:val="000C1DA3"/>
    <w:rsid w:val="000C1F6B"/>
    <w:rsid w:val="000C242B"/>
    <w:rsid w:val="000C2A6D"/>
    <w:rsid w:val="000C2E46"/>
    <w:rsid w:val="000C3217"/>
    <w:rsid w:val="000C46AF"/>
    <w:rsid w:val="000C493A"/>
    <w:rsid w:val="000C60A6"/>
    <w:rsid w:val="000C61A5"/>
    <w:rsid w:val="000D1AC9"/>
    <w:rsid w:val="000D260E"/>
    <w:rsid w:val="000E072C"/>
    <w:rsid w:val="000E2C37"/>
    <w:rsid w:val="000E3C08"/>
    <w:rsid w:val="000E4C4F"/>
    <w:rsid w:val="000E4E1D"/>
    <w:rsid w:val="000E5A98"/>
    <w:rsid w:val="000E5FFF"/>
    <w:rsid w:val="000E6DA6"/>
    <w:rsid w:val="000E6E8F"/>
    <w:rsid w:val="000F359B"/>
    <w:rsid w:val="000F442E"/>
    <w:rsid w:val="000F509A"/>
    <w:rsid w:val="000F5F0B"/>
    <w:rsid w:val="000F6966"/>
    <w:rsid w:val="000F69C3"/>
    <w:rsid w:val="001015C6"/>
    <w:rsid w:val="001027DD"/>
    <w:rsid w:val="00102B03"/>
    <w:rsid w:val="00102E75"/>
    <w:rsid w:val="00103342"/>
    <w:rsid w:val="00104960"/>
    <w:rsid w:val="00111721"/>
    <w:rsid w:val="00120EA2"/>
    <w:rsid w:val="00122E39"/>
    <w:rsid w:val="00126F87"/>
    <w:rsid w:val="001273F7"/>
    <w:rsid w:val="001274A5"/>
    <w:rsid w:val="00132E39"/>
    <w:rsid w:val="001364A6"/>
    <w:rsid w:val="00142431"/>
    <w:rsid w:val="00143E82"/>
    <w:rsid w:val="00145E49"/>
    <w:rsid w:val="00151716"/>
    <w:rsid w:val="00153D29"/>
    <w:rsid w:val="001540AC"/>
    <w:rsid w:val="001564E4"/>
    <w:rsid w:val="00162401"/>
    <w:rsid w:val="00164884"/>
    <w:rsid w:val="00165075"/>
    <w:rsid w:val="001650F5"/>
    <w:rsid w:val="00176DE4"/>
    <w:rsid w:val="00177858"/>
    <w:rsid w:val="001815FD"/>
    <w:rsid w:val="00181954"/>
    <w:rsid w:val="00183423"/>
    <w:rsid w:val="00184419"/>
    <w:rsid w:val="00185ECD"/>
    <w:rsid w:val="001867F2"/>
    <w:rsid w:val="00187E9E"/>
    <w:rsid w:val="00190567"/>
    <w:rsid w:val="001930A9"/>
    <w:rsid w:val="00193A3A"/>
    <w:rsid w:val="00194132"/>
    <w:rsid w:val="001957FA"/>
    <w:rsid w:val="00195FCF"/>
    <w:rsid w:val="001A28DD"/>
    <w:rsid w:val="001A66B2"/>
    <w:rsid w:val="001B1EE9"/>
    <w:rsid w:val="001B1F61"/>
    <w:rsid w:val="001B2A2C"/>
    <w:rsid w:val="001B42AB"/>
    <w:rsid w:val="001B4F67"/>
    <w:rsid w:val="001B6294"/>
    <w:rsid w:val="001B6B9B"/>
    <w:rsid w:val="001C0236"/>
    <w:rsid w:val="001C0791"/>
    <w:rsid w:val="001C745B"/>
    <w:rsid w:val="001C78A8"/>
    <w:rsid w:val="001D38D3"/>
    <w:rsid w:val="001D5882"/>
    <w:rsid w:val="001D6FEB"/>
    <w:rsid w:val="001D7FFD"/>
    <w:rsid w:val="001E2348"/>
    <w:rsid w:val="001E2492"/>
    <w:rsid w:val="001E2D3B"/>
    <w:rsid w:val="001E798F"/>
    <w:rsid w:val="001F01D9"/>
    <w:rsid w:val="001F06AB"/>
    <w:rsid w:val="001F2DFA"/>
    <w:rsid w:val="001F3A64"/>
    <w:rsid w:val="001F3AB1"/>
    <w:rsid w:val="001F3E31"/>
    <w:rsid w:val="001F49B7"/>
    <w:rsid w:val="001F7DE0"/>
    <w:rsid w:val="002012D2"/>
    <w:rsid w:val="00203A10"/>
    <w:rsid w:val="0020555B"/>
    <w:rsid w:val="00211E94"/>
    <w:rsid w:val="00213EC0"/>
    <w:rsid w:val="002142B9"/>
    <w:rsid w:val="0021720D"/>
    <w:rsid w:val="0022294D"/>
    <w:rsid w:val="00223F64"/>
    <w:rsid w:val="00226015"/>
    <w:rsid w:val="00226A87"/>
    <w:rsid w:val="00227502"/>
    <w:rsid w:val="00234C87"/>
    <w:rsid w:val="002369B2"/>
    <w:rsid w:val="00237DA9"/>
    <w:rsid w:val="002411D0"/>
    <w:rsid w:val="0024246E"/>
    <w:rsid w:val="00242723"/>
    <w:rsid w:val="00242A04"/>
    <w:rsid w:val="00243194"/>
    <w:rsid w:val="00243205"/>
    <w:rsid w:val="00244E49"/>
    <w:rsid w:val="00245931"/>
    <w:rsid w:val="0025169A"/>
    <w:rsid w:val="002543C3"/>
    <w:rsid w:val="00254AAD"/>
    <w:rsid w:val="002553D3"/>
    <w:rsid w:val="002600CB"/>
    <w:rsid w:val="00264ED4"/>
    <w:rsid w:val="00267857"/>
    <w:rsid w:val="00275558"/>
    <w:rsid w:val="00276E42"/>
    <w:rsid w:val="00280AC3"/>
    <w:rsid w:val="00280CA5"/>
    <w:rsid w:val="00281E9B"/>
    <w:rsid w:val="00286DA0"/>
    <w:rsid w:val="00294244"/>
    <w:rsid w:val="002953DA"/>
    <w:rsid w:val="00295C5A"/>
    <w:rsid w:val="00297854"/>
    <w:rsid w:val="002A2DF4"/>
    <w:rsid w:val="002B1398"/>
    <w:rsid w:val="002B3C9A"/>
    <w:rsid w:val="002B6988"/>
    <w:rsid w:val="002B6B5D"/>
    <w:rsid w:val="002B78B3"/>
    <w:rsid w:val="002C07B3"/>
    <w:rsid w:val="002C147B"/>
    <w:rsid w:val="002C16A1"/>
    <w:rsid w:val="002C18D0"/>
    <w:rsid w:val="002C2B6A"/>
    <w:rsid w:val="002C37AB"/>
    <w:rsid w:val="002C5048"/>
    <w:rsid w:val="002C6639"/>
    <w:rsid w:val="002D011C"/>
    <w:rsid w:val="002D3320"/>
    <w:rsid w:val="002D3830"/>
    <w:rsid w:val="002D3C1F"/>
    <w:rsid w:val="002D41FF"/>
    <w:rsid w:val="002D5ACF"/>
    <w:rsid w:val="002D6E8F"/>
    <w:rsid w:val="002E62E5"/>
    <w:rsid w:val="002E6FCE"/>
    <w:rsid w:val="002E71DB"/>
    <w:rsid w:val="002F391E"/>
    <w:rsid w:val="002F5EF5"/>
    <w:rsid w:val="002F7864"/>
    <w:rsid w:val="003049F7"/>
    <w:rsid w:val="00305DDB"/>
    <w:rsid w:val="00310050"/>
    <w:rsid w:val="00311410"/>
    <w:rsid w:val="0031179F"/>
    <w:rsid w:val="003118D4"/>
    <w:rsid w:val="00311C17"/>
    <w:rsid w:val="00312424"/>
    <w:rsid w:val="00312DCE"/>
    <w:rsid w:val="0031425F"/>
    <w:rsid w:val="00314BBA"/>
    <w:rsid w:val="00314DE6"/>
    <w:rsid w:val="00315C85"/>
    <w:rsid w:val="003162E5"/>
    <w:rsid w:val="00317052"/>
    <w:rsid w:val="00320D59"/>
    <w:rsid w:val="0032120D"/>
    <w:rsid w:val="003222BB"/>
    <w:rsid w:val="00322DD2"/>
    <w:rsid w:val="00323B73"/>
    <w:rsid w:val="00330C6D"/>
    <w:rsid w:val="00333F25"/>
    <w:rsid w:val="003358F9"/>
    <w:rsid w:val="00336FF1"/>
    <w:rsid w:val="003455CF"/>
    <w:rsid w:val="00345D9B"/>
    <w:rsid w:val="00347230"/>
    <w:rsid w:val="00347755"/>
    <w:rsid w:val="00347A77"/>
    <w:rsid w:val="00350728"/>
    <w:rsid w:val="00350A31"/>
    <w:rsid w:val="00351527"/>
    <w:rsid w:val="00351649"/>
    <w:rsid w:val="00353FAC"/>
    <w:rsid w:val="00354745"/>
    <w:rsid w:val="003579BC"/>
    <w:rsid w:val="003661E4"/>
    <w:rsid w:val="003664B5"/>
    <w:rsid w:val="00367229"/>
    <w:rsid w:val="003700BD"/>
    <w:rsid w:val="0037161F"/>
    <w:rsid w:val="00371774"/>
    <w:rsid w:val="00372FEB"/>
    <w:rsid w:val="00375146"/>
    <w:rsid w:val="00376186"/>
    <w:rsid w:val="00380C5D"/>
    <w:rsid w:val="00382712"/>
    <w:rsid w:val="00382D20"/>
    <w:rsid w:val="00383B83"/>
    <w:rsid w:val="00384175"/>
    <w:rsid w:val="00385762"/>
    <w:rsid w:val="00386E6A"/>
    <w:rsid w:val="00387742"/>
    <w:rsid w:val="00387BD8"/>
    <w:rsid w:val="00393EE0"/>
    <w:rsid w:val="00393F48"/>
    <w:rsid w:val="00396050"/>
    <w:rsid w:val="00397130"/>
    <w:rsid w:val="003A4906"/>
    <w:rsid w:val="003A6D93"/>
    <w:rsid w:val="003A781B"/>
    <w:rsid w:val="003B1D69"/>
    <w:rsid w:val="003B4BD2"/>
    <w:rsid w:val="003B5348"/>
    <w:rsid w:val="003B5E81"/>
    <w:rsid w:val="003B7CBB"/>
    <w:rsid w:val="003C0C95"/>
    <w:rsid w:val="003C1530"/>
    <w:rsid w:val="003C1A75"/>
    <w:rsid w:val="003C280A"/>
    <w:rsid w:val="003C38A0"/>
    <w:rsid w:val="003D2DA7"/>
    <w:rsid w:val="003D3E0D"/>
    <w:rsid w:val="003D53AA"/>
    <w:rsid w:val="003E0E7D"/>
    <w:rsid w:val="003E1D1D"/>
    <w:rsid w:val="003E2067"/>
    <w:rsid w:val="003E2C92"/>
    <w:rsid w:val="003E41E1"/>
    <w:rsid w:val="003F1BC1"/>
    <w:rsid w:val="003F1EEA"/>
    <w:rsid w:val="003F481A"/>
    <w:rsid w:val="003F6F7D"/>
    <w:rsid w:val="00402636"/>
    <w:rsid w:val="00403BC4"/>
    <w:rsid w:val="00403BEB"/>
    <w:rsid w:val="0040690C"/>
    <w:rsid w:val="00407215"/>
    <w:rsid w:val="0040777B"/>
    <w:rsid w:val="0041008B"/>
    <w:rsid w:val="00410BB8"/>
    <w:rsid w:val="004148E1"/>
    <w:rsid w:val="004203D5"/>
    <w:rsid w:val="0042091D"/>
    <w:rsid w:val="0042299B"/>
    <w:rsid w:val="004269C6"/>
    <w:rsid w:val="004269CD"/>
    <w:rsid w:val="00426E76"/>
    <w:rsid w:val="00427D0D"/>
    <w:rsid w:val="0043070E"/>
    <w:rsid w:val="00431A3D"/>
    <w:rsid w:val="00432AB9"/>
    <w:rsid w:val="00432EAA"/>
    <w:rsid w:val="004343A4"/>
    <w:rsid w:val="00434B8D"/>
    <w:rsid w:val="0043579C"/>
    <w:rsid w:val="00442399"/>
    <w:rsid w:val="00443CE4"/>
    <w:rsid w:val="00446A24"/>
    <w:rsid w:val="0045085B"/>
    <w:rsid w:val="00450FDD"/>
    <w:rsid w:val="00452562"/>
    <w:rsid w:val="00453DB5"/>
    <w:rsid w:val="00455262"/>
    <w:rsid w:val="004555FF"/>
    <w:rsid w:val="004577E2"/>
    <w:rsid w:val="004625EB"/>
    <w:rsid w:val="004707C1"/>
    <w:rsid w:val="00470B4E"/>
    <w:rsid w:val="00472518"/>
    <w:rsid w:val="004739ED"/>
    <w:rsid w:val="00473B63"/>
    <w:rsid w:val="0047648D"/>
    <w:rsid w:val="00476EEF"/>
    <w:rsid w:val="0047722D"/>
    <w:rsid w:val="00477F8D"/>
    <w:rsid w:val="00480B5F"/>
    <w:rsid w:val="00481F50"/>
    <w:rsid w:val="00483E8D"/>
    <w:rsid w:val="00492387"/>
    <w:rsid w:val="00495BED"/>
    <w:rsid w:val="004A1549"/>
    <w:rsid w:val="004A4470"/>
    <w:rsid w:val="004A483A"/>
    <w:rsid w:val="004B0B8F"/>
    <w:rsid w:val="004B1818"/>
    <w:rsid w:val="004B2B81"/>
    <w:rsid w:val="004B5370"/>
    <w:rsid w:val="004B53CF"/>
    <w:rsid w:val="004B5B32"/>
    <w:rsid w:val="004B5C7B"/>
    <w:rsid w:val="004B5D42"/>
    <w:rsid w:val="004B60D6"/>
    <w:rsid w:val="004B7184"/>
    <w:rsid w:val="004C06A4"/>
    <w:rsid w:val="004C19B7"/>
    <w:rsid w:val="004C3FB3"/>
    <w:rsid w:val="004C4585"/>
    <w:rsid w:val="004C5887"/>
    <w:rsid w:val="004D0404"/>
    <w:rsid w:val="004D0A99"/>
    <w:rsid w:val="004D1BEC"/>
    <w:rsid w:val="004D2652"/>
    <w:rsid w:val="004D2FF2"/>
    <w:rsid w:val="004D54CD"/>
    <w:rsid w:val="004D7B88"/>
    <w:rsid w:val="004E3628"/>
    <w:rsid w:val="004E477B"/>
    <w:rsid w:val="004E707F"/>
    <w:rsid w:val="004F39DA"/>
    <w:rsid w:val="004F49D4"/>
    <w:rsid w:val="004F6B7A"/>
    <w:rsid w:val="004F792B"/>
    <w:rsid w:val="004F7CF8"/>
    <w:rsid w:val="00501B10"/>
    <w:rsid w:val="005063C8"/>
    <w:rsid w:val="005063CA"/>
    <w:rsid w:val="005069A0"/>
    <w:rsid w:val="00511ACA"/>
    <w:rsid w:val="005121C7"/>
    <w:rsid w:val="00514065"/>
    <w:rsid w:val="0051482E"/>
    <w:rsid w:val="00516011"/>
    <w:rsid w:val="005210B2"/>
    <w:rsid w:val="005239B3"/>
    <w:rsid w:val="0052726D"/>
    <w:rsid w:val="005308FB"/>
    <w:rsid w:val="005309E4"/>
    <w:rsid w:val="00532CAD"/>
    <w:rsid w:val="00532F0F"/>
    <w:rsid w:val="00533049"/>
    <w:rsid w:val="00535A6D"/>
    <w:rsid w:val="00535D8E"/>
    <w:rsid w:val="005361AE"/>
    <w:rsid w:val="00540BB9"/>
    <w:rsid w:val="005413C2"/>
    <w:rsid w:val="005429A5"/>
    <w:rsid w:val="00546FA3"/>
    <w:rsid w:val="00547394"/>
    <w:rsid w:val="00547F3E"/>
    <w:rsid w:val="00550123"/>
    <w:rsid w:val="00552D40"/>
    <w:rsid w:val="00553D55"/>
    <w:rsid w:val="005543ED"/>
    <w:rsid w:val="00554C13"/>
    <w:rsid w:val="005562B9"/>
    <w:rsid w:val="00557EF6"/>
    <w:rsid w:val="0056164E"/>
    <w:rsid w:val="00561C65"/>
    <w:rsid w:val="00561FF3"/>
    <w:rsid w:val="0056292E"/>
    <w:rsid w:val="00562CA9"/>
    <w:rsid w:val="00563AF3"/>
    <w:rsid w:val="00563DFB"/>
    <w:rsid w:val="00570136"/>
    <w:rsid w:val="005705F8"/>
    <w:rsid w:val="005715C6"/>
    <w:rsid w:val="005730E8"/>
    <w:rsid w:val="005744DE"/>
    <w:rsid w:val="00575721"/>
    <w:rsid w:val="00576540"/>
    <w:rsid w:val="005776D6"/>
    <w:rsid w:val="00577CDC"/>
    <w:rsid w:val="00582FC3"/>
    <w:rsid w:val="00583A4E"/>
    <w:rsid w:val="005848CF"/>
    <w:rsid w:val="00585740"/>
    <w:rsid w:val="00587849"/>
    <w:rsid w:val="00590095"/>
    <w:rsid w:val="00590B54"/>
    <w:rsid w:val="00591777"/>
    <w:rsid w:val="005921A9"/>
    <w:rsid w:val="00592643"/>
    <w:rsid w:val="00594AFC"/>
    <w:rsid w:val="005979C9"/>
    <w:rsid w:val="005A1A2E"/>
    <w:rsid w:val="005A1FEC"/>
    <w:rsid w:val="005A3812"/>
    <w:rsid w:val="005A70E7"/>
    <w:rsid w:val="005B10CE"/>
    <w:rsid w:val="005B24AB"/>
    <w:rsid w:val="005B4739"/>
    <w:rsid w:val="005C0006"/>
    <w:rsid w:val="005C45D5"/>
    <w:rsid w:val="005C5D25"/>
    <w:rsid w:val="005D354B"/>
    <w:rsid w:val="005D3631"/>
    <w:rsid w:val="005D5BA2"/>
    <w:rsid w:val="005D6AB5"/>
    <w:rsid w:val="005E0C30"/>
    <w:rsid w:val="005F1CCD"/>
    <w:rsid w:val="005F2619"/>
    <w:rsid w:val="005F3955"/>
    <w:rsid w:val="005F3DF6"/>
    <w:rsid w:val="005F458F"/>
    <w:rsid w:val="005F4598"/>
    <w:rsid w:val="005F6B47"/>
    <w:rsid w:val="00600BDB"/>
    <w:rsid w:val="00601A27"/>
    <w:rsid w:val="00601FD8"/>
    <w:rsid w:val="00603313"/>
    <w:rsid w:val="006045D8"/>
    <w:rsid w:val="0060513D"/>
    <w:rsid w:val="00605CB5"/>
    <w:rsid w:val="0060640C"/>
    <w:rsid w:val="00606C78"/>
    <w:rsid w:val="00606FDA"/>
    <w:rsid w:val="00607C1A"/>
    <w:rsid w:val="006107A9"/>
    <w:rsid w:val="00610DBB"/>
    <w:rsid w:val="00614479"/>
    <w:rsid w:val="00622B14"/>
    <w:rsid w:val="00623441"/>
    <w:rsid w:val="006259F3"/>
    <w:rsid w:val="00630DCC"/>
    <w:rsid w:val="00631BFB"/>
    <w:rsid w:val="00632033"/>
    <w:rsid w:val="0063260D"/>
    <w:rsid w:val="00632E95"/>
    <w:rsid w:val="00635F65"/>
    <w:rsid w:val="00636805"/>
    <w:rsid w:val="006373ED"/>
    <w:rsid w:val="00637949"/>
    <w:rsid w:val="006421D1"/>
    <w:rsid w:val="00645567"/>
    <w:rsid w:val="0064660B"/>
    <w:rsid w:val="006503D7"/>
    <w:rsid w:val="00651746"/>
    <w:rsid w:val="00654495"/>
    <w:rsid w:val="00654C9C"/>
    <w:rsid w:val="00660428"/>
    <w:rsid w:val="006609CF"/>
    <w:rsid w:val="00665F6B"/>
    <w:rsid w:val="00672CD4"/>
    <w:rsid w:val="0067330E"/>
    <w:rsid w:val="00674A3B"/>
    <w:rsid w:val="00674DAF"/>
    <w:rsid w:val="006750F2"/>
    <w:rsid w:val="00681A23"/>
    <w:rsid w:val="00681C6E"/>
    <w:rsid w:val="006830AB"/>
    <w:rsid w:val="006845CF"/>
    <w:rsid w:val="00684F0E"/>
    <w:rsid w:val="00685DD7"/>
    <w:rsid w:val="00687C07"/>
    <w:rsid w:val="00687E60"/>
    <w:rsid w:val="0069411B"/>
    <w:rsid w:val="0069431D"/>
    <w:rsid w:val="00695D32"/>
    <w:rsid w:val="006A6929"/>
    <w:rsid w:val="006A7052"/>
    <w:rsid w:val="006B0705"/>
    <w:rsid w:val="006B10E0"/>
    <w:rsid w:val="006B27EB"/>
    <w:rsid w:val="006B29D9"/>
    <w:rsid w:val="006B34BA"/>
    <w:rsid w:val="006B472D"/>
    <w:rsid w:val="006B47A7"/>
    <w:rsid w:val="006B5E46"/>
    <w:rsid w:val="006B7BF9"/>
    <w:rsid w:val="006C0EB3"/>
    <w:rsid w:val="006C2C04"/>
    <w:rsid w:val="006C3557"/>
    <w:rsid w:val="006C44F6"/>
    <w:rsid w:val="006C5501"/>
    <w:rsid w:val="006C70F5"/>
    <w:rsid w:val="006D09BB"/>
    <w:rsid w:val="006D2C72"/>
    <w:rsid w:val="006D38F7"/>
    <w:rsid w:val="006D4710"/>
    <w:rsid w:val="006D5D3C"/>
    <w:rsid w:val="006E00AD"/>
    <w:rsid w:val="006E14C9"/>
    <w:rsid w:val="006E31D4"/>
    <w:rsid w:val="006E43C2"/>
    <w:rsid w:val="006E5890"/>
    <w:rsid w:val="006E7362"/>
    <w:rsid w:val="006F0969"/>
    <w:rsid w:val="006F1213"/>
    <w:rsid w:val="006F266E"/>
    <w:rsid w:val="006F3364"/>
    <w:rsid w:val="006F5D62"/>
    <w:rsid w:val="006F6532"/>
    <w:rsid w:val="00705332"/>
    <w:rsid w:val="00705941"/>
    <w:rsid w:val="00707A31"/>
    <w:rsid w:val="007153C4"/>
    <w:rsid w:val="007227DC"/>
    <w:rsid w:val="00723CC2"/>
    <w:rsid w:val="007240EA"/>
    <w:rsid w:val="0073124B"/>
    <w:rsid w:val="007320C5"/>
    <w:rsid w:val="00734C1D"/>
    <w:rsid w:val="00734FE8"/>
    <w:rsid w:val="00735396"/>
    <w:rsid w:val="007422C1"/>
    <w:rsid w:val="00743A94"/>
    <w:rsid w:val="00743D93"/>
    <w:rsid w:val="007450FE"/>
    <w:rsid w:val="007464F1"/>
    <w:rsid w:val="00746C33"/>
    <w:rsid w:val="00752838"/>
    <w:rsid w:val="00753CD7"/>
    <w:rsid w:val="00757CF8"/>
    <w:rsid w:val="00762F28"/>
    <w:rsid w:val="00762F90"/>
    <w:rsid w:val="007632CF"/>
    <w:rsid w:val="0076381F"/>
    <w:rsid w:val="00764483"/>
    <w:rsid w:val="00765005"/>
    <w:rsid w:val="00765A3F"/>
    <w:rsid w:val="00765CE8"/>
    <w:rsid w:val="0076741F"/>
    <w:rsid w:val="00767E3D"/>
    <w:rsid w:val="007708B0"/>
    <w:rsid w:val="007713E8"/>
    <w:rsid w:val="00773A3A"/>
    <w:rsid w:val="007764B9"/>
    <w:rsid w:val="007775E2"/>
    <w:rsid w:val="00781864"/>
    <w:rsid w:val="00783233"/>
    <w:rsid w:val="00783B4E"/>
    <w:rsid w:val="00785098"/>
    <w:rsid w:val="007851FE"/>
    <w:rsid w:val="007855B3"/>
    <w:rsid w:val="00786223"/>
    <w:rsid w:val="0078779D"/>
    <w:rsid w:val="0079005A"/>
    <w:rsid w:val="00790964"/>
    <w:rsid w:val="0079189D"/>
    <w:rsid w:val="00794A6B"/>
    <w:rsid w:val="00794C53"/>
    <w:rsid w:val="007A2C31"/>
    <w:rsid w:val="007A3D3E"/>
    <w:rsid w:val="007A6799"/>
    <w:rsid w:val="007A78A8"/>
    <w:rsid w:val="007B07D0"/>
    <w:rsid w:val="007B55EA"/>
    <w:rsid w:val="007B606D"/>
    <w:rsid w:val="007B621B"/>
    <w:rsid w:val="007B65ED"/>
    <w:rsid w:val="007B6790"/>
    <w:rsid w:val="007B6F45"/>
    <w:rsid w:val="007C3F3F"/>
    <w:rsid w:val="007C6A73"/>
    <w:rsid w:val="007D1BB2"/>
    <w:rsid w:val="007D4EFF"/>
    <w:rsid w:val="007D5CBB"/>
    <w:rsid w:val="007E3F6B"/>
    <w:rsid w:val="007E4946"/>
    <w:rsid w:val="007E5E8B"/>
    <w:rsid w:val="007E7B18"/>
    <w:rsid w:val="007F2974"/>
    <w:rsid w:val="007F37F9"/>
    <w:rsid w:val="007F3C8E"/>
    <w:rsid w:val="007F4574"/>
    <w:rsid w:val="007F784A"/>
    <w:rsid w:val="007F7FF5"/>
    <w:rsid w:val="00802E31"/>
    <w:rsid w:val="0080449A"/>
    <w:rsid w:val="00804C9A"/>
    <w:rsid w:val="008052B9"/>
    <w:rsid w:val="008060E4"/>
    <w:rsid w:val="00810C55"/>
    <w:rsid w:val="00813B93"/>
    <w:rsid w:val="00815E4B"/>
    <w:rsid w:val="00820D70"/>
    <w:rsid w:val="00823602"/>
    <w:rsid w:val="00826B9F"/>
    <w:rsid w:val="00827043"/>
    <w:rsid w:val="00834E3E"/>
    <w:rsid w:val="00837D4E"/>
    <w:rsid w:val="0084015C"/>
    <w:rsid w:val="00840304"/>
    <w:rsid w:val="008413A9"/>
    <w:rsid w:val="00841A1B"/>
    <w:rsid w:val="00843FA6"/>
    <w:rsid w:val="00844858"/>
    <w:rsid w:val="008453DE"/>
    <w:rsid w:val="00846E0A"/>
    <w:rsid w:val="00850160"/>
    <w:rsid w:val="00851AC2"/>
    <w:rsid w:val="0085305F"/>
    <w:rsid w:val="008541F8"/>
    <w:rsid w:val="008546BF"/>
    <w:rsid w:val="00855B6A"/>
    <w:rsid w:val="00862C48"/>
    <w:rsid w:val="00862D1D"/>
    <w:rsid w:val="008632CF"/>
    <w:rsid w:val="00864DBD"/>
    <w:rsid w:val="00865AE2"/>
    <w:rsid w:val="00866D35"/>
    <w:rsid w:val="00866FE1"/>
    <w:rsid w:val="00870370"/>
    <w:rsid w:val="00870679"/>
    <w:rsid w:val="00874EFB"/>
    <w:rsid w:val="008754A4"/>
    <w:rsid w:val="00875904"/>
    <w:rsid w:val="00881D1F"/>
    <w:rsid w:val="00886454"/>
    <w:rsid w:val="00893A1C"/>
    <w:rsid w:val="00893C72"/>
    <w:rsid w:val="0089484E"/>
    <w:rsid w:val="008A006F"/>
    <w:rsid w:val="008A1C1D"/>
    <w:rsid w:val="008A27EE"/>
    <w:rsid w:val="008A3788"/>
    <w:rsid w:val="008A4746"/>
    <w:rsid w:val="008A48B7"/>
    <w:rsid w:val="008A4AF1"/>
    <w:rsid w:val="008A7542"/>
    <w:rsid w:val="008A7E11"/>
    <w:rsid w:val="008B2013"/>
    <w:rsid w:val="008B5540"/>
    <w:rsid w:val="008B7BC0"/>
    <w:rsid w:val="008B7F94"/>
    <w:rsid w:val="008C0B7D"/>
    <w:rsid w:val="008C3876"/>
    <w:rsid w:val="008C446C"/>
    <w:rsid w:val="008C56DB"/>
    <w:rsid w:val="008C5A92"/>
    <w:rsid w:val="008C5BF9"/>
    <w:rsid w:val="008C7258"/>
    <w:rsid w:val="008E0DA4"/>
    <w:rsid w:val="008E503C"/>
    <w:rsid w:val="008E7F66"/>
    <w:rsid w:val="008F0766"/>
    <w:rsid w:val="008F10D9"/>
    <w:rsid w:val="008F2B29"/>
    <w:rsid w:val="008F585F"/>
    <w:rsid w:val="00900399"/>
    <w:rsid w:val="00900E1B"/>
    <w:rsid w:val="00904549"/>
    <w:rsid w:val="00904863"/>
    <w:rsid w:val="009057ED"/>
    <w:rsid w:val="00906AB5"/>
    <w:rsid w:val="00911073"/>
    <w:rsid w:val="00913507"/>
    <w:rsid w:val="00914B3C"/>
    <w:rsid w:val="00915D71"/>
    <w:rsid w:val="00915F45"/>
    <w:rsid w:val="0091772E"/>
    <w:rsid w:val="00920D8B"/>
    <w:rsid w:val="00920DF2"/>
    <w:rsid w:val="0092350C"/>
    <w:rsid w:val="00923896"/>
    <w:rsid w:val="009238CE"/>
    <w:rsid w:val="00926B0D"/>
    <w:rsid w:val="009339CF"/>
    <w:rsid w:val="00935D9B"/>
    <w:rsid w:val="009364F8"/>
    <w:rsid w:val="00937DD5"/>
    <w:rsid w:val="0094082E"/>
    <w:rsid w:val="009416EE"/>
    <w:rsid w:val="00941BCC"/>
    <w:rsid w:val="009444FC"/>
    <w:rsid w:val="0094461C"/>
    <w:rsid w:val="0094651D"/>
    <w:rsid w:val="00947579"/>
    <w:rsid w:val="00947E16"/>
    <w:rsid w:val="0095138C"/>
    <w:rsid w:val="009520E9"/>
    <w:rsid w:val="00956116"/>
    <w:rsid w:val="0095680C"/>
    <w:rsid w:val="00961A02"/>
    <w:rsid w:val="00961E87"/>
    <w:rsid w:val="00963272"/>
    <w:rsid w:val="0096530C"/>
    <w:rsid w:val="0096699D"/>
    <w:rsid w:val="00970C7F"/>
    <w:rsid w:val="00973071"/>
    <w:rsid w:val="00973881"/>
    <w:rsid w:val="00976313"/>
    <w:rsid w:val="00976460"/>
    <w:rsid w:val="0097649C"/>
    <w:rsid w:val="00976770"/>
    <w:rsid w:val="00977E64"/>
    <w:rsid w:val="009825ED"/>
    <w:rsid w:val="00982FC5"/>
    <w:rsid w:val="00983201"/>
    <w:rsid w:val="009838BD"/>
    <w:rsid w:val="00983E6B"/>
    <w:rsid w:val="00986BF7"/>
    <w:rsid w:val="00992E69"/>
    <w:rsid w:val="00993232"/>
    <w:rsid w:val="00994C22"/>
    <w:rsid w:val="009A07D5"/>
    <w:rsid w:val="009A2B54"/>
    <w:rsid w:val="009A4219"/>
    <w:rsid w:val="009A460E"/>
    <w:rsid w:val="009A5794"/>
    <w:rsid w:val="009B10C4"/>
    <w:rsid w:val="009B4236"/>
    <w:rsid w:val="009B5D29"/>
    <w:rsid w:val="009B6767"/>
    <w:rsid w:val="009B7909"/>
    <w:rsid w:val="009B7936"/>
    <w:rsid w:val="009B7F6D"/>
    <w:rsid w:val="009C0594"/>
    <w:rsid w:val="009C248A"/>
    <w:rsid w:val="009C2CE5"/>
    <w:rsid w:val="009C6E19"/>
    <w:rsid w:val="009C757C"/>
    <w:rsid w:val="009D1D33"/>
    <w:rsid w:val="009D447C"/>
    <w:rsid w:val="009D4724"/>
    <w:rsid w:val="009E521C"/>
    <w:rsid w:val="009E604A"/>
    <w:rsid w:val="009E6C93"/>
    <w:rsid w:val="009E721D"/>
    <w:rsid w:val="009F0BF0"/>
    <w:rsid w:val="009F1A7B"/>
    <w:rsid w:val="009F1EA8"/>
    <w:rsid w:val="009F2007"/>
    <w:rsid w:val="009F3A34"/>
    <w:rsid w:val="009F5FB3"/>
    <w:rsid w:val="009F61F9"/>
    <w:rsid w:val="009F6B24"/>
    <w:rsid w:val="009F7781"/>
    <w:rsid w:val="00A04AE6"/>
    <w:rsid w:val="00A05D1C"/>
    <w:rsid w:val="00A07361"/>
    <w:rsid w:val="00A079AC"/>
    <w:rsid w:val="00A10AF0"/>
    <w:rsid w:val="00A10CFA"/>
    <w:rsid w:val="00A11A69"/>
    <w:rsid w:val="00A12197"/>
    <w:rsid w:val="00A130FE"/>
    <w:rsid w:val="00A154EB"/>
    <w:rsid w:val="00A17EFE"/>
    <w:rsid w:val="00A21DC3"/>
    <w:rsid w:val="00A22EB4"/>
    <w:rsid w:val="00A2500C"/>
    <w:rsid w:val="00A266B5"/>
    <w:rsid w:val="00A27DA5"/>
    <w:rsid w:val="00A308F7"/>
    <w:rsid w:val="00A30C15"/>
    <w:rsid w:val="00A3518B"/>
    <w:rsid w:val="00A36BA1"/>
    <w:rsid w:val="00A36BD9"/>
    <w:rsid w:val="00A4303A"/>
    <w:rsid w:val="00A4394B"/>
    <w:rsid w:val="00A448F0"/>
    <w:rsid w:val="00A45650"/>
    <w:rsid w:val="00A506EB"/>
    <w:rsid w:val="00A5091A"/>
    <w:rsid w:val="00A50AC4"/>
    <w:rsid w:val="00A51829"/>
    <w:rsid w:val="00A5263B"/>
    <w:rsid w:val="00A55441"/>
    <w:rsid w:val="00A55748"/>
    <w:rsid w:val="00A62388"/>
    <w:rsid w:val="00A62F58"/>
    <w:rsid w:val="00A70DBA"/>
    <w:rsid w:val="00A74644"/>
    <w:rsid w:val="00A74DF6"/>
    <w:rsid w:val="00A822BA"/>
    <w:rsid w:val="00A826AE"/>
    <w:rsid w:val="00A831F3"/>
    <w:rsid w:val="00A84224"/>
    <w:rsid w:val="00A855AE"/>
    <w:rsid w:val="00A8629D"/>
    <w:rsid w:val="00A9326D"/>
    <w:rsid w:val="00AA0907"/>
    <w:rsid w:val="00AA1207"/>
    <w:rsid w:val="00AA3026"/>
    <w:rsid w:val="00AA323C"/>
    <w:rsid w:val="00AA5DF6"/>
    <w:rsid w:val="00AA663B"/>
    <w:rsid w:val="00AA6951"/>
    <w:rsid w:val="00AB0021"/>
    <w:rsid w:val="00AB2FD1"/>
    <w:rsid w:val="00AB3E3F"/>
    <w:rsid w:val="00AB584F"/>
    <w:rsid w:val="00AB734C"/>
    <w:rsid w:val="00AC1321"/>
    <w:rsid w:val="00AC1F89"/>
    <w:rsid w:val="00AC3710"/>
    <w:rsid w:val="00AC4674"/>
    <w:rsid w:val="00AC556C"/>
    <w:rsid w:val="00AD15A0"/>
    <w:rsid w:val="00AD19CB"/>
    <w:rsid w:val="00AD3E7F"/>
    <w:rsid w:val="00AD449E"/>
    <w:rsid w:val="00AD6376"/>
    <w:rsid w:val="00AD654C"/>
    <w:rsid w:val="00AD71DE"/>
    <w:rsid w:val="00AD7813"/>
    <w:rsid w:val="00AD7CE6"/>
    <w:rsid w:val="00AE2930"/>
    <w:rsid w:val="00AE2B1E"/>
    <w:rsid w:val="00AE2EE1"/>
    <w:rsid w:val="00AE61C1"/>
    <w:rsid w:val="00AE67BE"/>
    <w:rsid w:val="00AE734A"/>
    <w:rsid w:val="00AF0794"/>
    <w:rsid w:val="00AF59FA"/>
    <w:rsid w:val="00AF6A6E"/>
    <w:rsid w:val="00B00D5B"/>
    <w:rsid w:val="00B02F40"/>
    <w:rsid w:val="00B04D23"/>
    <w:rsid w:val="00B05B58"/>
    <w:rsid w:val="00B05E58"/>
    <w:rsid w:val="00B07192"/>
    <w:rsid w:val="00B10F96"/>
    <w:rsid w:val="00B111E0"/>
    <w:rsid w:val="00B118C9"/>
    <w:rsid w:val="00B1334B"/>
    <w:rsid w:val="00B13943"/>
    <w:rsid w:val="00B2600A"/>
    <w:rsid w:val="00B262F0"/>
    <w:rsid w:val="00B30853"/>
    <w:rsid w:val="00B3259E"/>
    <w:rsid w:val="00B34D0E"/>
    <w:rsid w:val="00B3570A"/>
    <w:rsid w:val="00B35CB7"/>
    <w:rsid w:val="00B3706B"/>
    <w:rsid w:val="00B40303"/>
    <w:rsid w:val="00B433DA"/>
    <w:rsid w:val="00B4440D"/>
    <w:rsid w:val="00B44FD7"/>
    <w:rsid w:val="00B4612C"/>
    <w:rsid w:val="00B47CD0"/>
    <w:rsid w:val="00B51472"/>
    <w:rsid w:val="00B53AA1"/>
    <w:rsid w:val="00B54124"/>
    <w:rsid w:val="00B54F3F"/>
    <w:rsid w:val="00B55103"/>
    <w:rsid w:val="00B56FED"/>
    <w:rsid w:val="00B608E5"/>
    <w:rsid w:val="00B61322"/>
    <w:rsid w:val="00B6586D"/>
    <w:rsid w:val="00B6644D"/>
    <w:rsid w:val="00B6764A"/>
    <w:rsid w:val="00B679CE"/>
    <w:rsid w:val="00B73740"/>
    <w:rsid w:val="00B7436A"/>
    <w:rsid w:val="00B7495B"/>
    <w:rsid w:val="00B763BD"/>
    <w:rsid w:val="00B77A29"/>
    <w:rsid w:val="00B852BA"/>
    <w:rsid w:val="00B86534"/>
    <w:rsid w:val="00B868AF"/>
    <w:rsid w:val="00B877A2"/>
    <w:rsid w:val="00B900FD"/>
    <w:rsid w:val="00B90C8A"/>
    <w:rsid w:val="00B91567"/>
    <w:rsid w:val="00B9243C"/>
    <w:rsid w:val="00B92B3D"/>
    <w:rsid w:val="00B960B4"/>
    <w:rsid w:val="00B97CFC"/>
    <w:rsid w:val="00BA04E5"/>
    <w:rsid w:val="00BA185B"/>
    <w:rsid w:val="00BA2EA8"/>
    <w:rsid w:val="00BA32E7"/>
    <w:rsid w:val="00BA63BB"/>
    <w:rsid w:val="00BA6A8D"/>
    <w:rsid w:val="00BA6D42"/>
    <w:rsid w:val="00BB2612"/>
    <w:rsid w:val="00BB3601"/>
    <w:rsid w:val="00BB6CCF"/>
    <w:rsid w:val="00BC042D"/>
    <w:rsid w:val="00BC3D73"/>
    <w:rsid w:val="00BC4042"/>
    <w:rsid w:val="00BC4152"/>
    <w:rsid w:val="00BD0D1D"/>
    <w:rsid w:val="00BD2016"/>
    <w:rsid w:val="00BD252A"/>
    <w:rsid w:val="00BD5176"/>
    <w:rsid w:val="00BD5359"/>
    <w:rsid w:val="00BD6E3C"/>
    <w:rsid w:val="00BE4497"/>
    <w:rsid w:val="00BF14FF"/>
    <w:rsid w:val="00BF1FDD"/>
    <w:rsid w:val="00BF3231"/>
    <w:rsid w:val="00BF4780"/>
    <w:rsid w:val="00BF603F"/>
    <w:rsid w:val="00C01923"/>
    <w:rsid w:val="00C02F0D"/>
    <w:rsid w:val="00C0324E"/>
    <w:rsid w:val="00C03C97"/>
    <w:rsid w:val="00C12B5B"/>
    <w:rsid w:val="00C13EAC"/>
    <w:rsid w:val="00C1663D"/>
    <w:rsid w:val="00C22BB2"/>
    <w:rsid w:val="00C2480B"/>
    <w:rsid w:val="00C25EEC"/>
    <w:rsid w:val="00C2649D"/>
    <w:rsid w:val="00C30E87"/>
    <w:rsid w:val="00C35023"/>
    <w:rsid w:val="00C427F3"/>
    <w:rsid w:val="00C437D8"/>
    <w:rsid w:val="00C43AE4"/>
    <w:rsid w:val="00C43D4E"/>
    <w:rsid w:val="00C44BCC"/>
    <w:rsid w:val="00C46376"/>
    <w:rsid w:val="00C50894"/>
    <w:rsid w:val="00C53B81"/>
    <w:rsid w:val="00C55CBF"/>
    <w:rsid w:val="00C57C74"/>
    <w:rsid w:val="00C600CB"/>
    <w:rsid w:val="00C70F22"/>
    <w:rsid w:val="00C71775"/>
    <w:rsid w:val="00C750E0"/>
    <w:rsid w:val="00C76DA1"/>
    <w:rsid w:val="00C84617"/>
    <w:rsid w:val="00C926E7"/>
    <w:rsid w:val="00C959C1"/>
    <w:rsid w:val="00C968F7"/>
    <w:rsid w:val="00CA391C"/>
    <w:rsid w:val="00CB22C8"/>
    <w:rsid w:val="00CC0721"/>
    <w:rsid w:val="00CC0F72"/>
    <w:rsid w:val="00CC1017"/>
    <w:rsid w:val="00CC73BD"/>
    <w:rsid w:val="00CD0468"/>
    <w:rsid w:val="00CD354B"/>
    <w:rsid w:val="00CD56DA"/>
    <w:rsid w:val="00CD6C80"/>
    <w:rsid w:val="00CD701E"/>
    <w:rsid w:val="00CE1760"/>
    <w:rsid w:val="00CE27F7"/>
    <w:rsid w:val="00CE64BC"/>
    <w:rsid w:val="00CF0199"/>
    <w:rsid w:val="00CF15B0"/>
    <w:rsid w:val="00CF2259"/>
    <w:rsid w:val="00CF2A63"/>
    <w:rsid w:val="00CF31F6"/>
    <w:rsid w:val="00CF3C94"/>
    <w:rsid w:val="00CF5AA5"/>
    <w:rsid w:val="00D030FC"/>
    <w:rsid w:val="00D0366D"/>
    <w:rsid w:val="00D17255"/>
    <w:rsid w:val="00D221D3"/>
    <w:rsid w:val="00D25685"/>
    <w:rsid w:val="00D259A3"/>
    <w:rsid w:val="00D2663B"/>
    <w:rsid w:val="00D3173D"/>
    <w:rsid w:val="00D32904"/>
    <w:rsid w:val="00D332E9"/>
    <w:rsid w:val="00D34A54"/>
    <w:rsid w:val="00D36004"/>
    <w:rsid w:val="00D36E0D"/>
    <w:rsid w:val="00D37767"/>
    <w:rsid w:val="00D409D1"/>
    <w:rsid w:val="00D4254A"/>
    <w:rsid w:val="00D4342D"/>
    <w:rsid w:val="00D43831"/>
    <w:rsid w:val="00D43AFA"/>
    <w:rsid w:val="00D44563"/>
    <w:rsid w:val="00D455A1"/>
    <w:rsid w:val="00D51747"/>
    <w:rsid w:val="00D53C38"/>
    <w:rsid w:val="00D626DD"/>
    <w:rsid w:val="00D6643D"/>
    <w:rsid w:val="00D74D88"/>
    <w:rsid w:val="00D81471"/>
    <w:rsid w:val="00D83768"/>
    <w:rsid w:val="00D84118"/>
    <w:rsid w:val="00D8605B"/>
    <w:rsid w:val="00D92A84"/>
    <w:rsid w:val="00D9554D"/>
    <w:rsid w:val="00D95FE1"/>
    <w:rsid w:val="00DA028D"/>
    <w:rsid w:val="00DA4E0A"/>
    <w:rsid w:val="00DA6987"/>
    <w:rsid w:val="00DA6AC7"/>
    <w:rsid w:val="00DA784A"/>
    <w:rsid w:val="00DB1F7D"/>
    <w:rsid w:val="00DB4D2F"/>
    <w:rsid w:val="00DB4E0C"/>
    <w:rsid w:val="00DB5EC3"/>
    <w:rsid w:val="00DB771D"/>
    <w:rsid w:val="00DC127E"/>
    <w:rsid w:val="00DC24A0"/>
    <w:rsid w:val="00DC5BCD"/>
    <w:rsid w:val="00DC7F03"/>
    <w:rsid w:val="00DD0042"/>
    <w:rsid w:val="00DD0F8C"/>
    <w:rsid w:val="00DD3E49"/>
    <w:rsid w:val="00DD3F2F"/>
    <w:rsid w:val="00DD5296"/>
    <w:rsid w:val="00DD6C81"/>
    <w:rsid w:val="00DE05BF"/>
    <w:rsid w:val="00DE0717"/>
    <w:rsid w:val="00DE0CFE"/>
    <w:rsid w:val="00DE355F"/>
    <w:rsid w:val="00DE39AF"/>
    <w:rsid w:val="00DE458B"/>
    <w:rsid w:val="00DE5923"/>
    <w:rsid w:val="00DE6A3D"/>
    <w:rsid w:val="00DE6D2A"/>
    <w:rsid w:val="00DE7E6C"/>
    <w:rsid w:val="00DF01BE"/>
    <w:rsid w:val="00DF1BEF"/>
    <w:rsid w:val="00DF2A82"/>
    <w:rsid w:val="00DF4DF8"/>
    <w:rsid w:val="00DF5A34"/>
    <w:rsid w:val="00DF6C20"/>
    <w:rsid w:val="00E00906"/>
    <w:rsid w:val="00E00DCE"/>
    <w:rsid w:val="00E0281C"/>
    <w:rsid w:val="00E02A98"/>
    <w:rsid w:val="00E054C2"/>
    <w:rsid w:val="00E10569"/>
    <w:rsid w:val="00E11C7C"/>
    <w:rsid w:val="00E14C1C"/>
    <w:rsid w:val="00E150D4"/>
    <w:rsid w:val="00E15586"/>
    <w:rsid w:val="00E15C2E"/>
    <w:rsid w:val="00E20798"/>
    <w:rsid w:val="00E2258E"/>
    <w:rsid w:val="00E22B68"/>
    <w:rsid w:val="00E31061"/>
    <w:rsid w:val="00E328C8"/>
    <w:rsid w:val="00E33094"/>
    <w:rsid w:val="00E336FB"/>
    <w:rsid w:val="00E40B8E"/>
    <w:rsid w:val="00E41106"/>
    <w:rsid w:val="00E51985"/>
    <w:rsid w:val="00E5235E"/>
    <w:rsid w:val="00E52548"/>
    <w:rsid w:val="00E54DFD"/>
    <w:rsid w:val="00E57259"/>
    <w:rsid w:val="00E6190D"/>
    <w:rsid w:val="00E64C30"/>
    <w:rsid w:val="00E65B7A"/>
    <w:rsid w:val="00E66C7F"/>
    <w:rsid w:val="00E67A44"/>
    <w:rsid w:val="00E7217E"/>
    <w:rsid w:val="00E77B42"/>
    <w:rsid w:val="00E77CDD"/>
    <w:rsid w:val="00E81148"/>
    <w:rsid w:val="00E815A5"/>
    <w:rsid w:val="00E84215"/>
    <w:rsid w:val="00E87968"/>
    <w:rsid w:val="00E90564"/>
    <w:rsid w:val="00E925A8"/>
    <w:rsid w:val="00E95C87"/>
    <w:rsid w:val="00E96023"/>
    <w:rsid w:val="00E961BA"/>
    <w:rsid w:val="00EA0A9D"/>
    <w:rsid w:val="00EA1138"/>
    <w:rsid w:val="00EA19F4"/>
    <w:rsid w:val="00EA3128"/>
    <w:rsid w:val="00EA429F"/>
    <w:rsid w:val="00EA5C19"/>
    <w:rsid w:val="00EB01DE"/>
    <w:rsid w:val="00EB0D72"/>
    <w:rsid w:val="00EB231C"/>
    <w:rsid w:val="00EB356D"/>
    <w:rsid w:val="00EB5434"/>
    <w:rsid w:val="00EB698C"/>
    <w:rsid w:val="00EB6CE4"/>
    <w:rsid w:val="00EC0889"/>
    <w:rsid w:val="00EC302A"/>
    <w:rsid w:val="00EC76FB"/>
    <w:rsid w:val="00EC7AB1"/>
    <w:rsid w:val="00ED030C"/>
    <w:rsid w:val="00ED300E"/>
    <w:rsid w:val="00ED55D8"/>
    <w:rsid w:val="00ED6FCF"/>
    <w:rsid w:val="00ED7E1B"/>
    <w:rsid w:val="00EE3109"/>
    <w:rsid w:val="00EE49CA"/>
    <w:rsid w:val="00EE4E24"/>
    <w:rsid w:val="00EF1026"/>
    <w:rsid w:val="00EF1DCD"/>
    <w:rsid w:val="00EF2DDC"/>
    <w:rsid w:val="00EF523A"/>
    <w:rsid w:val="00EF76DE"/>
    <w:rsid w:val="00EF7E9A"/>
    <w:rsid w:val="00F01ADF"/>
    <w:rsid w:val="00F01CB0"/>
    <w:rsid w:val="00F03550"/>
    <w:rsid w:val="00F0366B"/>
    <w:rsid w:val="00F038D6"/>
    <w:rsid w:val="00F05A98"/>
    <w:rsid w:val="00F10FF6"/>
    <w:rsid w:val="00F12893"/>
    <w:rsid w:val="00F13F01"/>
    <w:rsid w:val="00F157EF"/>
    <w:rsid w:val="00F15E4B"/>
    <w:rsid w:val="00F15FE1"/>
    <w:rsid w:val="00F164FC"/>
    <w:rsid w:val="00F209AB"/>
    <w:rsid w:val="00F250E3"/>
    <w:rsid w:val="00F26DEB"/>
    <w:rsid w:val="00F3301E"/>
    <w:rsid w:val="00F35738"/>
    <w:rsid w:val="00F35CA7"/>
    <w:rsid w:val="00F425D0"/>
    <w:rsid w:val="00F433DE"/>
    <w:rsid w:val="00F45006"/>
    <w:rsid w:val="00F45B14"/>
    <w:rsid w:val="00F4685A"/>
    <w:rsid w:val="00F47503"/>
    <w:rsid w:val="00F52746"/>
    <w:rsid w:val="00F52B54"/>
    <w:rsid w:val="00F53705"/>
    <w:rsid w:val="00F5563F"/>
    <w:rsid w:val="00F56342"/>
    <w:rsid w:val="00F56724"/>
    <w:rsid w:val="00F5782D"/>
    <w:rsid w:val="00F57F54"/>
    <w:rsid w:val="00F60304"/>
    <w:rsid w:val="00F60F9C"/>
    <w:rsid w:val="00F64186"/>
    <w:rsid w:val="00F664AE"/>
    <w:rsid w:val="00F66C1F"/>
    <w:rsid w:val="00F71C84"/>
    <w:rsid w:val="00F72145"/>
    <w:rsid w:val="00F7227B"/>
    <w:rsid w:val="00F72447"/>
    <w:rsid w:val="00F72810"/>
    <w:rsid w:val="00F75BDE"/>
    <w:rsid w:val="00F7770B"/>
    <w:rsid w:val="00F84AE7"/>
    <w:rsid w:val="00F84EEB"/>
    <w:rsid w:val="00F91EF4"/>
    <w:rsid w:val="00F9230A"/>
    <w:rsid w:val="00F94072"/>
    <w:rsid w:val="00F947F3"/>
    <w:rsid w:val="00F95685"/>
    <w:rsid w:val="00F9638A"/>
    <w:rsid w:val="00F96C04"/>
    <w:rsid w:val="00FA346B"/>
    <w:rsid w:val="00FA49EC"/>
    <w:rsid w:val="00FB1F62"/>
    <w:rsid w:val="00FC1274"/>
    <w:rsid w:val="00FC7F85"/>
    <w:rsid w:val="00FD02D5"/>
    <w:rsid w:val="00FD03AC"/>
    <w:rsid w:val="00FD22BF"/>
    <w:rsid w:val="00FD29E1"/>
    <w:rsid w:val="00FD2D27"/>
    <w:rsid w:val="00FD2D71"/>
    <w:rsid w:val="00FD2D91"/>
    <w:rsid w:val="00FD2DD4"/>
    <w:rsid w:val="00FE29B3"/>
    <w:rsid w:val="00FE4265"/>
    <w:rsid w:val="00FE4795"/>
    <w:rsid w:val="00FE4BAA"/>
    <w:rsid w:val="00FE56CE"/>
    <w:rsid w:val="00FE5758"/>
    <w:rsid w:val="00FF075B"/>
    <w:rsid w:val="00FF12F7"/>
    <w:rsid w:val="00FF3004"/>
    <w:rsid w:val="00FF306A"/>
    <w:rsid w:val="00FF3174"/>
    <w:rsid w:val="00FF33E7"/>
    <w:rsid w:val="00FF47DD"/>
    <w:rsid w:val="00FF791D"/>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6D"/>
    <w:pPr>
      <w:spacing w:after="240"/>
    </w:pPr>
    <w:rPr>
      <w:rFonts w:ascii="Arial" w:hAnsi="Arial" w:cs="Arial"/>
      <w:sz w:val="24"/>
      <w:szCs w:val="24"/>
    </w:rPr>
  </w:style>
  <w:style w:type="paragraph" w:styleId="Heading1">
    <w:name w:val="heading 1"/>
    <w:basedOn w:val="Normal"/>
    <w:next w:val="Normal"/>
    <w:link w:val="Heading1Char"/>
    <w:uiPriority w:val="9"/>
    <w:qFormat/>
    <w:rsid w:val="0052726D"/>
    <w:pPr>
      <w:spacing w:after="360" w:line="240" w:lineRule="auto"/>
      <w:outlineLvl w:val="0"/>
    </w:pPr>
    <w:rPr>
      <w:b/>
      <w:sz w:val="36"/>
      <w:szCs w:val="36"/>
    </w:rPr>
  </w:style>
  <w:style w:type="paragraph" w:styleId="Heading2">
    <w:name w:val="heading 2"/>
    <w:basedOn w:val="Heading3"/>
    <w:next w:val="Normal"/>
    <w:link w:val="Heading2Char"/>
    <w:autoRedefine/>
    <w:uiPriority w:val="9"/>
    <w:unhideWhenUsed/>
    <w:qFormat/>
    <w:rsid w:val="00F664AE"/>
    <w:pPr>
      <w:spacing w:before="240"/>
      <w:outlineLvl w:val="1"/>
    </w:pPr>
    <w:rPr>
      <w:sz w:val="28"/>
      <w:szCs w:val="28"/>
    </w:rPr>
  </w:style>
  <w:style w:type="paragraph" w:styleId="Heading3">
    <w:name w:val="heading 3"/>
    <w:basedOn w:val="Normal"/>
    <w:next w:val="Normal"/>
    <w:link w:val="Heading3Char"/>
    <w:uiPriority w:val="9"/>
    <w:unhideWhenUsed/>
    <w:qFormat/>
    <w:rsid w:val="003F1EEA"/>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E87"/>
    <w:pPr>
      <w:ind w:left="720"/>
      <w:contextualSpacing/>
    </w:pPr>
  </w:style>
  <w:style w:type="character" w:styleId="CommentReference">
    <w:name w:val="annotation reference"/>
    <w:basedOn w:val="DefaultParagraphFont"/>
    <w:uiPriority w:val="99"/>
    <w:semiHidden/>
    <w:unhideWhenUsed/>
    <w:rsid w:val="005A1FEC"/>
    <w:rPr>
      <w:sz w:val="16"/>
      <w:szCs w:val="16"/>
    </w:rPr>
  </w:style>
  <w:style w:type="paragraph" w:styleId="CommentText">
    <w:name w:val="annotation text"/>
    <w:basedOn w:val="Normal"/>
    <w:link w:val="CommentTextChar"/>
    <w:uiPriority w:val="99"/>
    <w:unhideWhenUsed/>
    <w:rsid w:val="005A1FEC"/>
    <w:pPr>
      <w:spacing w:line="240" w:lineRule="auto"/>
    </w:pPr>
    <w:rPr>
      <w:sz w:val="20"/>
      <w:szCs w:val="20"/>
    </w:rPr>
  </w:style>
  <w:style w:type="character" w:customStyle="1" w:styleId="CommentTextChar">
    <w:name w:val="Comment Text Char"/>
    <w:basedOn w:val="DefaultParagraphFont"/>
    <w:link w:val="CommentText"/>
    <w:uiPriority w:val="99"/>
    <w:rsid w:val="005A1FEC"/>
    <w:rPr>
      <w:sz w:val="20"/>
      <w:szCs w:val="20"/>
    </w:rPr>
  </w:style>
  <w:style w:type="paragraph" w:styleId="CommentSubject">
    <w:name w:val="annotation subject"/>
    <w:basedOn w:val="CommentText"/>
    <w:next w:val="CommentText"/>
    <w:link w:val="CommentSubjectChar"/>
    <w:uiPriority w:val="99"/>
    <w:semiHidden/>
    <w:unhideWhenUsed/>
    <w:rsid w:val="005A1FEC"/>
    <w:rPr>
      <w:b/>
      <w:bCs/>
    </w:rPr>
  </w:style>
  <w:style w:type="character" w:customStyle="1" w:styleId="CommentSubjectChar">
    <w:name w:val="Comment Subject Char"/>
    <w:basedOn w:val="CommentTextChar"/>
    <w:link w:val="CommentSubject"/>
    <w:uiPriority w:val="99"/>
    <w:semiHidden/>
    <w:rsid w:val="005A1FEC"/>
    <w:rPr>
      <w:b/>
      <w:bCs/>
      <w:sz w:val="20"/>
      <w:szCs w:val="20"/>
    </w:rPr>
  </w:style>
  <w:style w:type="paragraph" w:styleId="BalloonText">
    <w:name w:val="Balloon Text"/>
    <w:basedOn w:val="Normal"/>
    <w:link w:val="BalloonTextChar"/>
    <w:uiPriority w:val="99"/>
    <w:semiHidden/>
    <w:unhideWhenUsed/>
    <w:rsid w:val="005A1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EC"/>
    <w:rPr>
      <w:rFonts w:ascii="Tahoma" w:hAnsi="Tahoma" w:cs="Tahoma"/>
      <w:sz w:val="16"/>
      <w:szCs w:val="16"/>
    </w:rPr>
  </w:style>
  <w:style w:type="paragraph" w:styleId="Header">
    <w:name w:val="header"/>
    <w:basedOn w:val="Normal"/>
    <w:link w:val="HeaderChar"/>
    <w:uiPriority w:val="99"/>
    <w:unhideWhenUsed/>
    <w:rsid w:val="00136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4A6"/>
  </w:style>
  <w:style w:type="paragraph" w:styleId="Footer">
    <w:name w:val="footer"/>
    <w:basedOn w:val="Normal"/>
    <w:link w:val="FooterChar"/>
    <w:uiPriority w:val="99"/>
    <w:unhideWhenUsed/>
    <w:rsid w:val="00136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4A6"/>
  </w:style>
  <w:style w:type="paragraph" w:styleId="PlainText">
    <w:name w:val="Plain Text"/>
    <w:basedOn w:val="Normal"/>
    <w:link w:val="PlainTextChar"/>
    <w:uiPriority w:val="99"/>
    <w:unhideWhenUsed/>
    <w:rsid w:val="009B10C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10C4"/>
    <w:rPr>
      <w:rFonts w:ascii="Calibri" w:hAnsi="Calibri"/>
      <w:szCs w:val="21"/>
    </w:rPr>
  </w:style>
  <w:style w:type="character" w:styleId="FootnoteReference">
    <w:name w:val="footnote reference"/>
    <w:uiPriority w:val="99"/>
    <w:unhideWhenUsed/>
    <w:rsid w:val="00B262F0"/>
    <w:rPr>
      <w:sz w:val="16"/>
      <w:szCs w:val="16"/>
    </w:rPr>
  </w:style>
  <w:style w:type="paragraph" w:styleId="Revision">
    <w:name w:val="Revision"/>
    <w:hidden/>
    <w:uiPriority w:val="99"/>
    <w:semiHidden/>
    <w:rsid w:val="00665F6B"/>
    <w:pPr>
      <w:spacing w:after="0" w:line="240" w:lineRule="auto"/>
    </w:pPr>
  </w:style>
  <w:style w:type="paragraph" w:customStyle="1" w:styleId="Default">
    <w:name w:val="Default"/>
    <w:rsid w:val="00AD19CB"/>
    <w:pPr>
      <w:autoSpaceDE w:val="0"/>
      <w:autoSpaceDN w:val="0"/>
      <w:adjustRightInd w:val="0"/>
      <w:spacing w:after="0" w:line="240" w:lineRule="auto"/>
    </w:pPr>
    <w:rPr>
      <w:rFonts w:ascii="Calibri" w:hAnsi="Calibri" w:cs="Calibri"/>
      <w:color w:val="000000"/>
      <w:sz w:val="24"/>
      <w:szCs w:val="24"/>
      <w:lang w:val="en-US"/>
    </w:rPr>
  </w:style>
  <w:style w:type="character" w:customStyle="1" w:styleId="apple-converted-space">
    <w:name w:val="apple-converted-space"/>
    <w:basedOn w:val="DefaultParagraphFont"/>
    <w:rsid w:val="00734C1D"/>
  </w:style>
  <w:style w:type="paragraph" w:styleId="FootnoteText">
    <w:name w:val="footnote text"/>
    <w:basedOn w:val="Normal"/>
    <w:link w:val="FootnoteTextChar"/>
    <w:uiPriority w:val="99"/>
    <w:unhideWhenUsed/>
    <w:rsid w:val="000651F9"/>
    <w:pPr>
      <w:spacing w:after="0" w:line="240" w:lineRule="auto"/>
    </w:pPr>
  </w:style>
  <w:style w:type="character" w:customStyle="1" w:styleId="FootnoteTextChar">
    <w:name w:val="Footnote Text Char"/>
    <w:basedOn w:val="DefaultParagraphFont"/>
    <w:link w:val="FootnoteText"/>
    <w:uiPriority w:val="99"/>
    <w:rsid w:val="000651F9"/>
    <w:rPr>
      <w:sz w:val="24"/>
      <w:szCs w:val="24"/>
    </w:rPr>
  </w:style>
  <w:style w:type="paragraph" w:styleId="NormalWeb">
    <w:name w:val="Normal (Web)"/>
    <w:basedOn w:val="Normal"/>
    <w:uiPriority w:val="99"/>
    <w:unhideWhenUsed/>
    <w:rsid w:val="00A22EB4"/>
    <w:pPr>
      <w:spacing w:before="100" w:beforeAutospacing="1" w:after="100" w:afterAutospacing="1" w:line="240" w:lineRule="auto"/>
    </w:pPr>
    <w:rPr>
      <w:rFonts w:ascii="Times" w:hAnsi="Times"/>
      <w:sz w:val="20"/>
      <w:szCs w:val="20"/>
      <w:lang w:val="en-US"/>
    </w:rPr>
  </w:style>
  <w:style w:type="character" w:styleId="Strong">
    <w:name w:val="Strong"/>
    <w:basedOn w:val="DefaultParagraphFont"/>
    <w:uiPriority w:val="22"/>
    <w:qFormat/>
    <w:rsid w:val="00D221D3"/>
    <w:rPr>
      <w:b/>
      <w:bCs/>
    </w:rPr>
  </w:style>
  <w:style w:type="character" w:customStyle="1" w:styleId="Heading1Char">
    <w:name w:val="Heading 1 Char"/>
    <w:basedOn w:val="DefaultParagraphFont"/>
    <w:link w:val="Heading1"/>
    <w:uiPriority w:val="9"/>
    <w:rsid w:val="0052726D"/>
    <w:rPr>
      <w:rFonts w:ascii="Arial" w:hAnsi="Arial" w:cs="Arial"/>
      <w:b/>
      <w:sz w:val="36"/>
      <w:szCs w:val="36"/>
    </w:rPr>
  </w:style>
  <w:style w:type="character" w:customStyle="1" w:styleId="Heading2Char">
    <w:name w:val="Heading 2 Char"/>
    <w:basedOn w:val="DefaultParagraphFont"/>
    <w:link w:val="Heading2"/>
    <w:uiPriority w:val="9"/>
    <w:rsid w:val="00F664AE"/>
    <w:rPr>
      <w:rFonts w:ascii="Arial" w:hAnsi="Arial" w:cs="Arial"/>
      <w:b/>
      <w:sz w:val="28"/>
      <w:szCs w:val="28"/>
    </w:rPr>
  </w:style>
  <w:style w:type="paragraph" w:customStyle="1" w:styleId="Calloutbox">
    <w:name w:val="Callout box"/>
    <w:basedOn w:val="Normal"/>
    <w:qFormat/>
    <w:rsid w:val="00B262F0"/>
    <w:pPr>
      <w:pBdr>
        <w:top w:val="single" w:sz="4" w:space="1" w:color="auto"/>
        <w:left w:val="single" w:sz="4" w:space="4" w:color="auto"/>
        <w:bottom w:val="single" w:sz="4" w:space="1" w:color="auto"/>
        <w:right w:val="single" w:sz="4" w:space="4" w:color="auto"/>
      </w:pBdr>
      <w:spacing w:after="360"/>
    </w:pPr>
    <w:rPr>
      <w:b/>
    </w:rPr>
  </w:style>
  <w:style w:type="character" w:styleId="SubtleEmphasis">
    <w:name w:val="Subtle Emphasis"/>
    <w:uiPriority w:val="19"/>
    <w:qFormat/>
    <w:rsid w:val="00B262F0"/>
    <w:rPr>
      <w:rFonts w:ascii="Times New Roman" w:hAnsi="Times New Roman" w:cs="Times New Roman"/>
      <w:i/>
      <w:sz w:val="20"/>
      <w:szCs w:val="20"/>
    </w:rPr>
  </w:style>
  <w:style w:type="paragraph" w:customStyle="1" w:styleId="TitlePage1">
    <w:name w:val="Title Page 1"/>
    <w:basedOn w:val="Normal"/>
    <w:link w:val="TitlePage1Char"/>
    <w:qFormat/>
    <w:rsid w:val="00EB231C"/>
    <w:pPr>
      <w:spacing w:after="0" w:line="240" w:lineRule="auto"/>
    </w:pPr>
  </w:style>
  <w:style w:type="paragraph" w:customStyle="1" w:styleId="TitlePage2">
    <w:name w:val="Title Page 2"/>
    <w:basedOn w:val="Normal"/>
    <w:link w:val="TitlePage2Char"/>
    <w:qFormat/>
    <w:rsid w:val="00EB231C"/>
    <w:pPr>
      <w:spacing w:after="0" w:line="240" w:lineRule="auto"/>
    </w:pPr>
    <w:rPr>
      <w:b/>
      <w:sz w:val="36"/>
      <w:szCs w:val="36"/>
    </w:rPr>
  </w:style>
  <w:style w:type="character" w:customStyle="1" w:styleId="TitlePage1Char">
    <w:name w:val="Title Page 1 Char"/>
    <w:basedOn w:val="DefaultParagraphFont"/>
    <w:link w:val="TitlePage1"/>
    <w:rsid w:val="00EB231C"/>
    <w:rPr>
      <w:rFonts w:ascii="Arial" w:hAnsi="Arial" w:cs="Arial"/>
      <w:sz w:val="24"/>
      <w:szCs w:val="24"/>
    </w:rPr>
  </w:style>
  <w:style w:type="paragraph" w:customStyle="1" w:styleId="TitlePage3">
    <w:name w:val="Title Page 3"/>
    <w:basedOn w:val="Normal"/>
    <w:link w:val="TitlePage3Char"/>
    <w:qFormat/>
    <w:rsid w:val="00EB231C"/>
    <w:pPr>
      <w:spacing w:after="480" w:line="240" w:lineRule="auto"/>
    </w:pPr>
    <w:rPr>
      <w:b/>
      <w:sz w:val="28"/>
      <w:szCs w:val="28"/>
    </w:rPr>
  </w:style>
  <w:style w:type="character" w:customStyle="1" w:styleId="TitlePage2Char">
    <w:name w:val="Title Page 2 Char"/>
    <w:basedOn w:val="DefaultParagraphFont"/>
    <w:link w:val="TitlePage2"/>
    <w:rsid w:val="00EB231C"/>
    <w:rPr>
      <w:rFonts w:ascii="Arial" w:hAnsi="Arial" w:cs="Arial"/>
      <w:b/>
      <w:sz w:val="36"/>
      <w:szCs w:val="36"/>
    </w:rPr>
  </w:style>
  <w:style w:type="character" w:customStyle="1" w:styleId="Heading3Char">
    <w:name w:val="Heading 3 Char"/>
    <w:basedOn w:val="DefaultParagraphFont"/>
    <w:link w:val="Heading3"/>
    <w:uiPriority w:val="9"/>
    <w:rsid w:val="003F1EEA"/>
    <w:rPr>
      <w:rFonts w:ascii="Arial" w:hAnsi="Arial" w:cs="Arial"/>
      <w:b/>
      <w:sz w:val="24"/>
      <w:szCs w:val="24"/>
    </w:rPr>
  </w:style>
  <w:style w:type="character" w:customStyle="1" w:styleId="TitlePage3Char">
    <w:name w:val="Title Page 3 Char"/>
    <w:basedOn w:val="DefaultParagraphFont"/>
    <w:link w:val="TitlePage3"/>
    <w:rsid w:val="00EB231C"/>
    <w:rPr>
      <w:rFonts w:ascii="Arial" w:hAnsi="Arial" w:cs="Arial"/>
      <w:b/>
      <w:sz w:val="28"/>
      <w:szCs w:val="28"/>
    </w:rPr>
  </w:style>
  <w:style w:type="character" w:styleId="Hyperlink">
    <w:name w:val="Hyperlink"/>
    <w:basedOn w:val="DefaultParagraphFont"/>
    <w:uiPriority w:val="99"/>
    <w:unhideWhenUsed/>
    <w:rsid w:val="001F2DFA"/>
    <w:rPr>
      <w:color w:val="0000FF"/>
      <w:u w:val="single"/>
    </w:rPr>
  </w:style>
  <w:style w:type="character" w:styleId="PageNumber">
    <w:name w:val="page number"/>
    <w:basedOn w:val="DefaultParagraphFont"/>
    <w:uiPriority w:val="99"/>
    <w:semiHidden/>
    <w:unhideWhenUsed/>
    <w:rsid w:val="002E62E5"/>
  </w:style>
  <w:style w:type="character" w:styleId="FollowedHyperlink">
    <w:name w:val="FollowedHyperlink"/>
    <w:basedOn w:val="DefaultParagraphFont"/>
    <w:uiPriority w:val="99"/>
    <w:semiHidden/>
    <w:unhideWhenUsed/>
    <w:rsid w:val="00F664AE"/>
    <w:rPr>
      <w:color w:val="800080" w:themeColor="followedHyperlink"/>
      <w:u w:val="single"/>
    </w:rPr>
  </w:style>
  <w:style w:type="paragraph" w:customStyle="1" w:styleId="KCName">
    <w:name w:val="KC Name"/>
    <w:basedOn w:val="Normal"/>
    <w:link w:val="KCNameChar"/>
    <w:qFormat/>
    <w:rsid w:val="00A079AC"/>
    <w:pPr>
      <w:spacing w:after="0"/>
    </w:pPr>
    <w:rPr>
      <w:b/>
      <w:sz w:val="22"/>
      <w:szCs w:val="22"/>
    </w:rPr>
  </w:style>
  <w:style w:type="paragraph" w:customStyle="1" w:styleId="KCTitle">
    <w:name w:val="KC Title"/>
    <w:basedOn w:val="Normal"/>
    <w:link w:val="KCTitleChar"/>
    <w:qFormat/>
    <w:rsid w:val="00A079AC"/>
    <w:rPr>
      <w:sz w:val="20"/>
      <w:szCs w:val="20"/>
    </w:rPr>
  </w:style>
  <w:style w:type="character" w:customStyle="1" w:styleId="KCNameChar">
    <w:name w:val="KC Name Char"/>
    <w:basedOn w:val="DefaultParagraphFont"/>
    <w:link w:val="KCName"/>
    <w:rsid w:val="00A079AC"/>
    <w:rPr>
      <w:rFonts w:ascii="Arial" w:hAnsi="Arial" w:cs="Arial"/>
      <w:b/>
    </w:rPr>
  </w:style>
  <w:style w:type="table" w:styleId="TableGrid">
    <w:name w:val="Table Grid"/>
    <w:basedOn w:val="TableNormal"/>
    <w:uiPriority w:val="59"/>
    <w:rsid w:val="0009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CTitleChar">
    <w:name w:val="KC Title Char"/>
    <w:basedOn w:val="DefaultParagraphFont"/>
    <w:link w:val="KCTitle"/>
    <w:rsid w:val="00A079AC"/>
    <w:rPr>
      <w:rFonts w:ascii="Arial" w:hAnsi="Arial" w:cs="Arial"/>
      <w:sz w:val="20"/>
      <w:szCs w:val="20"/>
    </w:rPr>
  </w:style>
  <w:style w:type="paragraph" w:customStyle="1" w:styleId="PriorityTag">
    <w:name w:val="Priority Tag"/>
    <w:basedOn w:val="Normal"/>
    <w:link w:val="PriorityTagChar"/>
    <w:qFormat/>
    <w:rsid w:val="000F69C3"/>
    <w:pPr>
      <w:spacing w:after="0"/>
    </w:pPr>
    <w:rPr>
      <w:b/>
      <w:color w:val="808080" w:themeColor="background1" w:themeShade="80"/>
      <w:sz w:val="20"/>
      <w:szCs w:val="20"/>
    </w:rPr>
  </w:style>
  <w:style w:type="character" w:customStyle="1" w:styleId="PriorityTagChar">
    <w:name w:val="Priority Tag Char"/>
    <w:basedOn w:val="DefaultParagraphFont"/>
    <w:link w:val="PriorityTag"/>
    <w:rsid w:val="000F69C3"/>
    <w:rPr>
      <w:rFonts w:ascii="Arial" w:hAnsi="Arial" w:cs="Arial"/>
      <w:b/>
      <w:color w:val="808080" w:themeColor="background1" w:themeShade="80"/>
      <w:sz w:val="20"/>
      <w:szCs w:val="20"/>
    </w:rPr>
  </w:style>
  <w:style w:type="paragraph" w:styleId="TOCHeading">
    <w:name w:val="TOC Heading"/>
    <w:basedOn w:val="Heading1"/>
    <w:next w:val="Normal"/>
    <w:uiPriority w:val="39"/>
    <w:unhideWhenUsed/>
    <w:qFormat/>
    <w:rsid w:val="005F3DF6"/>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195FCF"/>
    <w:pPr>
      <w:spacing w:after="120" w:line="240" w:lineRule="auto"/>
    </w:pPr>
  </w:style>
  <w:style w:type="paragraph" w:styleId="TOC2">
    <w:name w:val="toc 2"/>
    <w:basedOn w:val="Normal"/>
    <w:next w:val="Normal"/>
    <w:autoRedefine/>
    <w:uiPriority w:val="39"/>
    <w:unhideWhenUsed/>
    <w:rsid w:val="005F3DF6"/>
    <w:pPr>
      <w:spacing w:after="100"/>
      <w:ind w:left="240"/>
    </w:pPr>
  </w:style>
  <w:style w:type="paragraph" w:styleId="TOC3">
    <w:name w:val="toc 3"/>
    <w:basedOn w:val="Normal"/>
    <w:next w:val="Normal"/>
    <w:autoRedefine/>
    <w:uiPriority w:val="39"/>
    <w:unhideWhenUsed/>
    <w:rsid w:val="005F3DF6"/>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6D"/>
    <w:pPr>
      <w:spacing w:after="240"/>
    </w:pPr>
    <w:rPr>
      <w:rFonts w:ascii="Arial" w:hAnsi="Arial" w:cs="Arial"/>
      <w:sz w:val="24"/>
      <w:szCs w:val="24"/>
    </w:rPr>
  </w:style>
  <w:style w:type="paragraph" w:styleId="Heading1">
    <w:name w:val="heading 1"/>
    <w:basedOn w:val="Normal"/>
    <w:next w:val="Normal"/>
    <w:link w:val="Heading1Char"/>
    <w:uiPriority w:val="9"/>
    <w:qFormat/>
    <w:rsid w:val="0052726D"/>
    <w:pPr>
      <w:spacing w:after="360" w:line="240" w:lineRule="auto"/>
      <w:outlineLvl w:val="0"/>
    </w:pPr>
    <w:rPr>
      <w:b/>
      <w:sz w:val="36"/>
      <w:szCs w:val="36"/>
    </w:rPr>
  </w:style>
  <w:style w:type="paragraph" w:styleId="Heading2">
    <w:name w:val="heading 2"/>
    <w:basedOn w:val="Heading3"/>
    <w:next w:val="Normal"/>
    <w:link w:val="Heading2Char"/>
    <w:autoRedefine/>
    <w:uiPriority w:val="9"/>
    <w:unhideWhenUsed/>
    <w:qFormat/>
    <w:rsid w:val="00F664AE"/>
    <w:pPr>
      <w:spacing w:before="240"/>
      <w:outlineLvl w:val="1"/>
    </w:pPr>
    <w:rPr>
      <w:sz w:val="28"/>
      <w:szCs w:val="28"/>
    </w:rPr>
  </w:style>
  <w:style w:type="paragraph" w:styleId="Heading3">
    <w:name w:val="heading 3"/>
    <w:basedOn w:val="Normal"/>
    <w:next w:val="Normal"/>
    <w:link w:val="Heading3Char"/>
    <w:uiPriority w:val="9"/>
    <w:unhideWhenUsed/>
    <w:qFormat/>
    <w:rsid w:val="003F1EEA"/>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E87"/>
    <w:pPr>
      <w:ind w:left="720"/>
      <w:contextualSpacing/>
    </w:pPr>
  </w:style>
  <w:style w:type="character" w:styleId="CommentReference">
    <w:name w:val="annotation reference"/>
    <w:basedOn w:val="DefaultParagraphFont"/>
    <w:uiPriority w:val="99"/>
    <w:semiHidden/>
    <w:unhideWhenUsed/>
    <w:rsid w:val="005A1FEC"/>
    <w:rPr>
      <w:sz w:val="16"/>
      <w:szCs w:val="16"/>
    </w:rPr>
  </w:style>
  <w:style w:type="paragraph" w:styleId="CommentText">
    <w:name w:val="annotation text"/>
    <w:basedOn w:val="Normal"/>
    <w:link w:val="CommentTextChar"/>
    <w:uiPriority w:val="99"/>
    <w:unhideWhenUsed/>
    <w:rsid w:val="005A1FEC"/>
    <w:pPr>
      <w:spacing w:line="240" w:lineRule="auto"/>
    </w:pPr>
    <w:rPr>
      <w:sz w:val="20"/>
      <w:szCs w:val="20"/>
    </w:rPr>
  </w:style>
  <w:style w:type="character" w:customStyle="1" w:styleId="CommentTextChar">
    <w:name w:val="Comment Text Char"/>
    <w:basedOn w:val="DefaultParagraphFont"/>
    <w:link w:val="CommentText"/>
    <w:uiPriority w:val="99"/>
    <w:rsid w:val="005A1FEC"/>
    <w:rPr>
      <w:sz w:val="20"/>
      <w:szCs w:val="20"/>
    </w:rPr>
  </w:style>
  <w:style w:type="paragraph" w:styleId="CommentSubject">
    <w:name w:val="annotation subject"/>
    <w:basedOn w:val="CommentText"/>
    <w:next w:val="CommentText"/>
    <w:link w:val="CommentSubjectChar"/>
    <w:uiPriority w:val="99"/>
    <w:semiHidden/>
    <w:unhideWhenUsed/>
    <w:rsid w:val="005A1FEC"/>
    <w:rPr>
      <w:b/>
      <w:bCs/>
    </w:rPr>
  </w:style>
  <w:style w:type="character" w:customStyle="1" w:styleId="CommentSubjectChar">
    <w:name w:val="Comment Subject Char"/>
    <w:basedOn w:val="CommentTextChar"/>
    <w:link w:val="CommentSubject"/>
    <w:uiPriority w:val="99"/>
    <w:semiHidden/>
    <w:rsid w:val="005A1FEC"/>
    <w:rPr>
      <w:b/>
      <w:bCs/>
      <w:sz w:val="20"/>
      <w:szCs w:val="20"/>
    </w:rPr>
  </w:style>
  <w:style w:type="paragraph" w:styleId="BalloonText">
    <w:name w:val="Balloon Text"/>
    <w:basedOn w:val="Normal"/>
    <w:link w:val="BalloonTextChar"/>
    <w:uiPriority w:val="99"/>
    <w:semiHidden/>
    <w:unhideWhenUsed/>
    <w:rsid w:val="005A1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EC"/>
    <w:rPr>
      <w:rFonts w:ascii="Tahoma" w:hAnsi="Tahoma" w:cs="Tahoma"/>
      <w:sz w:val="16"/>
      <w:szCs w:val="16"/>
    </w:rPr>
  </w:style>
  <w:style w:type="paragraph" w:styleId="Header">
    <w:name w:val="header"/>
    <w:basedOn w:val="Normal"/>
    <w:link w:val="HeaderChar"/>
    <w:uiPriority w:val="99"/>
    <w:unhideWhenUsed/>
    <w:rsid w:val="00136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4A6"/>
  </w:style>
  <w:style w:type="paragraph" w:styleId="Footer">
    <w:name w:val="footer"/>
    <w:basedOn w:val="Normal"/>
    <w:link w:val="FooterChar"/>
    <w:uiPriority w:val="99"/>
    <w:unhideWhenUsed/>
    <w:rsid w:val="00136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4A6"/>
  </w:style>
  <w:style w:type="paragraph" w:styleId="PlainText">
    <w:name w:val="Plain Text"/>
    <w:basedOn w:val="Normal"/>
    <w:link w:val="PlainTextChar"/>
    <w:uiPriority w:val="99"/>
    <w:unhideWhenUsed/>
    <w:rsid w:val="009B10C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10C4"/>
    <w:rPr>
      <w:rFonts w:ascii="Calibri" w:hAnsi="Calibri"/>
      <w:szCs w:val="21"/>
    </w:rPr>
  </w:style>
  <w:style w:type="character" w:styleId="FootnoteReference">
    <w:name w:val="footnote reference"/>
    <w:uiPriority w:val="99"/>
    <w:unhideWhenUsed/>
    <w:rsid w:val="00B262F0"/>
    <w:rPr>
      <w:sz w:val="16"/>
      <w:szCs w:val="16"/>
    </w:rPr>
  </w:style>
  <w:style w:type="paragraph" w:styleId="Revision">
    <w:name w:val="Revision"/>
    <w:hidden/>
    <w:uiPriority w:val="99"/>
    <w:semiHidden/>
    <w:rsid w:val="00665F6B"/>
    <w:pPr>
      <w:spacing w:after="0" w:line="240" w:lineRule="auto"/>
    </w:pPr>
  </w:style>
  <w:style w:type="paragraph" w:customStyle="1" w:styleId="Default">
    <w:name w:val="Default"/>
    <w:rsid w:val="00AD19CB"/>
    <w:pPr>
      <w:autoSpaceDE w:val="0"/>
      <w:autoSpaceDN w:val="0"/>
      <w:adjustRightInd w:val="0"/>
      <w:spacing w:after="0" w:line="240" w:lineRule="auto"/>
    </w:pPr>
    <w:rPr>
      <w:rFonts w:ascii="Calibri" w:hAnsi="Calibri" w:cs="Calibri"/>
      <w:color w:val="000000"/>
      <w:sz w:val="24"/>
      <w:szCs w:val="24"/>
      <w:lang w:val="en-US"/>
    </w:rPr>
  </w:style>
  <w:style w:type="character" w:customStyle="1" w:styleId="apple-converted-space">
    <w:name w:val="apple-converted-space"/>
    <w:basedOn w:val="DefaultParagraphFont"/>
    <w:rsid w:val="00734C1D"/>
  </w:style>
  <w:style w:type="paragraph" w:styleId="FootnoteText">
    <w:name w:val="footnote text"/>
    <w:basedOn w:val="Normal"/>
    <w:link w:val="FootnoteTextChar"/>
    <w:uiPriority w:val="99"/>
    <w:unhideWhenUsed/>
    <w:rsid w:val="000651F9"/>
    <w:pPr>
      <w:spacing w:after="0" w:line="240" w:lineRule="auto"/>
    </w:pPr>
  </w:style>
  <w:style w:type="character" w:customStyle="1" w:styleId="FootnoteTextChar">
    <w:name w:val="Footnote Text Char"/>
    <w:basedOn w:val="DefaultParagraphFont"/>
    <w:link w:val="FootnoteText"/>
    <w:uiPriority w:val="99"/>
    <w:rsid w:val="000651F9"/>
    <w:rPr>
      <w:sz w:val="24"/>
      <w:szCs w:val="24"/>
    </w:rPr>
  </w:style>
  <w:style w:type="paragraph" w:styleId="NormalWeb">
    <w:name w:val="Normal (Web)"/>
    <w:basedOn w:val="Normal"/>
    <w:uiPriority w:val="99"/>
    <w:unhideWhenUsed/>
    <w:rsid w:val="00A22EB4"/>
    <w:pPr>
      <w:spacing w:before="100" w:beforeAutospacing="1" w:after="100" w:afterAutospacing="1" w:line="240" w:lineRule="auto"/>
    </w:pPr>
    <w:rPr>
      <w:rFonts w:ascii="Times" w:hAnsi="Times"/>
      <w:sz w:val="20"/>
      <w:szCs w:val="20"/>
      <w:lang w:val="en-US"/>
    </w:rPr>
  </w:style>
  <w:style w:type="character" w:styleId="Strong">
    <w:name w:val="Strong"/>
    <w:basedOn w:val="DefaultParagraphFont"/>
    <w:uiPriority w:val="22"/>
    <w:qFormat/>
    <w:rsid w:val="00D221D3"/>
    <w:rPr>
      <w:b/>
      <w:bCs/>
    </w:rPr>
  </w:style>
  <w:style w:type="character" w:customStyle="1" w:styleId="Heading1Char">
    <w:name w:val="Heading 1 Char"/>
    <w:basedOn w:val="DefaultParagraphFont"/>
    <w:link w:val="Heading1"/>
    <w:uiPriority w:val="9"/>
    <w:rsid w:val="0052726D"/>
    <w:rPr>
      <w:rFonts w:ascii="Arial" w:hAnsi="Arial" w:cs="Arial"/>
      <w:b/>
      <w:sz w:val="36"/>
      <w:szCs w:val="36"/>
    </w:rPr>
  </w:style>
  <w:style w:type="character" w:customStyle="1" w:styleId="Heading2Char">
    <w:name w:val="Heading 2 Char"/>
    <w:basedOn w:val="DefaultParagraphFont"/>
    <w:link w:val="Heading2"/>
    <w:uiPriority w:val="9"/>
    <w:rsid w:val="00F664AE"/>
    <w:rPr>
      <w:rFonts w:ascii="Arial" w:hAnsi="Arial" w:cs="Arial"/>
      <w:b/>
      <w:sz w:val="28"/>
      <w:szCs w:val="28"/>
    </w:rPr>
  </w:style>
  <w:style w:type="paragraph" w:customStyle="1" w:styleId="Calloutbox">
    <w:name w:val="Callout box"/>
    <w:basedOn w:val="Normal"/>
    <w:qFormat/>
    <w:rsid w:val="00B262F0"/>
    <w:pPr>
      <w:pBdr>
        <w:top w:val="single" w:sz="4" w:space="1" w:color="auto"/>
        <w:left w:val="single" w:sz="4" w:space="4" w:color="auto"/>
        <w:bottom w:val="single" w:sz="4" w:space="1" w:color="auto"/>
        <w:right w:val="single" w:sz="4" w:space="4" w:color="auto"/>
      </w:pBdr>
      <w:spacing w:after="360"/>
    </w:pPr>
    <w:rPr>
      <w:b/>
    </w:rPr>
  </w:style>
  <w:style w:type="character" w:styleId="SubtleEmphasis">
    <w:name w:val="Subtle Emphasis"/>
    <w:uiPriority w:val="19"/>
    <w:qFormat/>
    <w:rsid w:val="00B262F0"/>
    <w:rPr>
      <w:rFonts w:ascii="Times New Roman" w:hAnsi="Times New Roman" w:cs="Times New Roman"/>
      <w:i/>
      <w:sz w:val="20"/>
      <w:szCs w:val="20"/>
    </w:rPr>
  </w:style>
  <w:style w:type="paragraph" w:customStyle="1" w:styleId="TitlePage1">
    <w:name w:val="Title Page 1"/>
    <w:basedOn w:val="Normal"/>
    <w:link w:val="TitlePage1Char"/>
    <w:qFormat/>
    <w:rsid w:val="00EB231C"/>
    <w:pPr>
      <w:spacing w:after="0" w:line="240" w:lineRule="auto"/>
    </w:pPr>
  </w:style>
  <w:style w:type="paragraph" w:customStyle="1" w:styleId="TitlePage2">
    <w:name w:val="Title Page 2"/>
    <w:basedOn w:val="Normal"/>
    <w:link w:val="TitlePage2Char"/>
    <w:qFormat/>
    <w:rsid w:val="00EB231C"/>
    <w:pPr>
      <w:spacing w:after="0" w:line="240" w:lineRule="auto"/>
    </w:pPr>
    <w:rPr>
      <w:b/>
      <w:sz w:val="36"/>
      <w:szCs w:val="36"/>
    </w:rPr>
  </w:style>
  <w:style w:type="character" w:customStyle="1" w:styleId="TitlePage1Char">
    <w:name w:val="Title Page 1 Char"/>
    <w:basedOn w:val="DefaultParagraphFont"/>
    <w:link w:val="TitlePage1"/>
    <w:rsid w:val="00EB231C"/>
    <w:rPr>
      <w:rFonts w:ascii="Arial" w:hAnsi="Arial" w:cs="Arial"/>
      <w:sz w:val="24"/>
      <w:szCs w:val="24"/>
    </w:rPr>
  </w:style>
  <w:style w:type="paragraph" w:customStyle="1" w:styleId="TitlePage3">
    <w:name w:val="Title Page 3"/>
    <w:basedOn w:val="Normal"/>
    <w:link w:val="TitlePage3Char"/>
    <w:qFormat/>
    <w:rsid w:val="00EB231C"/>
    <w:pPr>
      <w:spacing w:after="480" w:line="240" w:lineRule="auto"/>
    </w:pPr>
    <w:rPr>
      <w:b/>
      <w:sz w:val="28"/>
      <w:szCs w:val="28"/>
    </w:rPr>
  </w:style>
  <w:style w:type="character" w:customStyle="1" w:styleId="TitlePage2Char">
    <w:name w:val="Title Page 2 Char"/>
    <w:basedOn w:val="DefaultParagraphFont"/>
    <w:link w:val="TitlePage2"/>
    <w:rsid w:val="00EB231C"/>
    <w:rPr>
      <w:rFonts w:ascii="Arial" w:hAnsi="Arial" w:cs="Arial"/>
      <w:b/>
      <w:sz w:val="36"/>
      <w:szCs w:val="36"/>
    </w:rPr>
  </w:style>
  <w:style w:type="character" w:customStyle="1" w:styleId="Heading3Char">
    <w:name w:val="Heading 3 Char"/>
    <w:basedOn w:val="DefaultParagraphFont"/>
    <w:link w:val="Heading3"/>
    <w:uiPriority w:val="9"/>
    <w:rsid w:val="003F1EEA"/>
    <w:rPr>
      <w:rFonts w:ascii="Arial" w:hAnsi="Arial" w:cs="Arial"/>
      <w:b/>
      <w:sz w:val="24"/>
      <w:szCs w:val="24"/>
    </w:rPr>
  </w:style>
  <w:style w:type="character" w:customStyle="1" w:styleId="TitlePage3Char">
    <w:name w:val="Title Page 3 Char"/>
    <w:basedOn w:val="DefaultParagraphFont"/>
    <w:link w:val="TitlePage3"/>
    <w:rsid w:val="00EB231C"/>
    <w:rPr>
      <w:rFonts w:ascii="Arial" w:hAnsi="Arial" w:cs="Arial"/>
      <w:b/>
      <w:sz w:val="28"/>
      <w:szCs w:val="28"/>
    </w:rPr>
  </w:style>
  <w:style w:type="character" w:styleId="Hyperlink">
    <w:name w:val="Hyperlink"/>
    <w:basedOn w:val="DefaultParagraphFont"/>
    <w:uiPriority w:val="99"/>
    <w:unhideWhenUsed/>
    <w:rsid w:val="001F2DFA"/>
    <w:rPr>
      <w:color w:val="0000FF"/>
      <w:u w:val="single"/>
    </w:rPr>
  </w:style>
  <w:style w:type="character" w:styleId="PageNumber">
    <w:name w:val="page number"/>
    <w:basedOn w:val="DefaultParagraphFont"/>
    <w:uiPriority w:val="99"/>
    <w:semiHidden/>
    <w:unhideWhenUsed/>
    <w:rsid w:val="002E62E5"/>
  </w:style>
  <w:style w:type="character" w:styleId="FollowedHyperlink">
    <w:name w:val="FollowedHyperlink"/>
    <w:basedOn w:val="DefaultParagraphFont"/>
    <w:uiPriority w:val="99"/>
    <w:semiHidden/>
    <w:unhideWhenUsed/>
    <w:rsid w:val="00F664AE"/>
    <w:rPr>
      <w:color w:val="800080" w:themeColor="followedHyperlink"/>
      <w:u w:val="single"/>
    </w:rPr>
  </w:style>
  <w:style w:type="paragraph" w:customStyle="1" w:styleId="KCName">
    <w:name w:val="KC Name"/>
    <w:basedOn w:val="Normal"/>
    <w:link w:val="KCNameChar"/>
    <w:qFormat/>
    <w:rsid w:val="00A079AC"/>
    <w:pPr>
      <w:spacing w:after="0"/>
    </w:pPr>
    <w:rPr>
      <w:b/>
      <w:sz w:val="22"/>
      <w:szCs w:val="22"/>
    </w:rPr>
  </w:style>
  <w:style w:type="paragraph" w:customStyle="1" w:styleId="KCTitle">
    <w:name w:val="KC Title"/>
    <w:basedOn w:val="Normal"/>
    <w:link w:val="KCTitleChar"/>
    <w:qFormat/>
    <w:rsid w:val="00A079AC"/>
    <w:rPr>
      <w:sz w:val="20"/>
      <w:szCs w:val="20"/>
    </w:rPr>
  </w:style>
  <w:style w:type="character" w:customStyle="1" w:styleId="KCNameChar">
    <w:name w:val="KC Name Char"/>
    <w:basedOn w:val="DefaultParagraphFont"/>
    <w:link w:val="KCName"/>
    <w:rsid w:val="00A079AC"/>
    <w:rPr>
      <w:rFonts w:ascii="Arial" w:hAnsi="Arial" w:cs="Arial"/>
      <w:b/>
    </w:rPr>
  </w:style>
  <w:style w:type="table" w:styleId="TableGrid">
    <w:name w:val="Table Grid"/>
    <w:basedOn w:val="TableNormal"/>
    <w:uiPriority w:val="59"/>
    <w:rsid w:val="0009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CTitleChar">
    <w:name w:val="KC Title Char"/>
    <w:basedOn w:val="DefaultParagraphFont"/>
    <w:link w:val="KCTitle"/>
    <w:rsid w:val="00A079AC"/>
    <w:rPr>
      <w:rFonts w:ascii="Arial" w:hAnsi="Arial" w:cs="Arial"/>
      <w:sz w:val="20"/>
      <w:szCs w:val="20"/>
    </w:rPr>
  </w:style>
  <w:style w:type="paragraph" w:customStyle="1" w:styleId="PriorityTag">
    <w:name w:val="Priority Tag"/>
    <w:basedOn w:val="Normal"/>
    <w:link w:val="PriorityTagChar"/>
    <w:qFormat/>
    <w:rsid w:val="000F69C3"/>
    <w:pPr>
      <w:spacing w:after="0"/>
    </w:pPr>
    <w:rPr>
      <w:b/>
      <w:color w:val="808080" w:themeColor="background1" w:themeShade="80"/>
      <w:sz w:val="20"/>
      <w:szCs w:val="20"/>
    </w:rPr>
  </w:style>
  <w:style w:type="character" w:customStyle="1" w:styleId="PriorityTagChar">
    <w:name w:val="Priority Tag Char"/>
    <w:basedOn w:val="DefaultParagraphFont"/>
    <w:link w:val="PriorityTag"/>
    <w:rsid w:val="000F69C3"/>
    <w:rPr>
      <w:rFonts w:ascii="Arial" w:hAnsi="Arial" w:cs="Arial"/>
      <w:b/>
      <w:color w:val="808080" w:themeColor="background1" w:themeShade="80"/>
      <w:sz w:val="20"/>
      <w:szCs w:val="20"/>
    </w:rPr>
  </w:style>
  <w:style w:type="paragraph" w:styleId="TOCHeading">
    <w:name w:val="TOC Heading"/>
    <w:basedOn w:val="Heading1"/>
    <w:next w:val="Normal"/>
    <w:uiPriority w:val="39"/>
    <w:unhideWhenUsed/>
    <w:qFormat/>
    <w:rsid w:val="005F3DF6"/>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195FCF"/>
    <w:pPr>
      <w:spacing w:after="120" w:line="240" w:lineRule="auto"/>
    </w:pPr>
  </w:style>
  <w:style w:type="paragraph" w:styleId="TOC2">
    <w:name w:val="toc 2"/>
    <w:basedOn w:val="Normal"/>
    <w:next w:val="Normal"/>
    <w:autoRedefine/>
    <w:uiPriority w:val="39"/>
    <w:unhideWhenUsed/>
    <w:rsid w:val="005F3DF6"/>
    <w:pPr>
      <w:spacing w:after="100"/>
      <w:ind w:left="240"/>
    </w:pPr>
  </w:style>
  <w:style w:type="paragraph" w:styleId="TOC3">
    <w:name w:val="toc 3"/>
    <w:basedOn w:val="Normal"/>
    <w:next w:val="Normal"/>
    <w:autoRedefine/>
    <w:uiPriority w:val="39"/>
    <w:unhideWhenUsed/>
    <w:rsid w:val="005F3DF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668">
      <w:bodyDiv w:val="1"/>
      <w:marLeft w:val="0"/>
      <w:marRight w:val="0"/>
      <w:marTop w:val="0"/>
      <w:marBottom w:val="0"/>
      <w:divBdr>
        <w:top w:val="none" w:sz="0" w:space="0" w:color="auto"/>
        <w:left w:val="none" w:sz="0" w:space="0" w:color="auto"/>
        <w:bottom w:val="none" w:sz="0" w:space="0" w:color="auto"/>
        <w:right w:val="none" w:sz="0" w:space="0" w:color="auto"/>
      </w:divBdr>
    </w:div>
    <w:div w:id="19430741">
      <w:bodyDiv w:val="1"/>
      <w:marLeft w:val="0"/>
      <w:marRight w:val="0"/>
      <w:marTop w:val="0"/>
      <w:marBottom w:val="0"/>
      <w:divBdr>
        <w:top w:val="none" w:sz="0" w:space="0" w:color="auto"/>
        <w:left w:val="none" w:sz="0" w:space="0" w:color="auto"/>
        <w:bottom w:val="none" w:sz="0" w:space="0" w:color="auto"/>
        <w:right w:val="none" w:sz="0" w:space="0" w:color="auto"/>
      </w:divBdr>
    </w:div>
    <w:div w:id="37048354">
      <w:bodyDiv w:val="1"/>
      <w:marLeft w:val="0"/>
      <w:marRight w:val="0"/>
      <w:marTop w:val="0"/>
      <w:marBottom w:val="0"/>
      <w:divBdr>
        <w:top w:val="none" w:sz="0" w:space="0" w:color="auto"/>
        <w:left w:val="none" w:sz="0" w:space="0" w:color="auto"/>
        <w:bottom w:val="none" w:sz="0" w:space="0" w:color="auto"/>
        <w:right w:val="none" w:sz="0" w:space="0" w:color="auto"/>
      </w:divBdr>
    </w:div>
    <w:div w:id="160312663">
      <w:bodyDiv w:val="1"/>
      <w:marLeft w:val="0"/>
      <w:marRight w:val="0"/>
      <w:marTop w:val="0"/>
      <w:marBottom w:val="0"/>
      <w:divBdr>
        <w:top w:val="none" w:sz="0" w:space="0" w:color="auto"/>
        <w:left w:val="none" w:sz="0" w:space="0" w:color="auto"/>
        <w:bottom w:val="none" w:sz="0" w:space="0" w:color="auto"/>
        <w:right w:val="none" w:sz="0" w:space="0" w:color="auto"/>
      </w:divBdr>
    </w:div>
    <w:div w:id="167864917">
      <w:bodyDiv w:val="1"/>
      <w:marLeft w:val="0"/>
      <w:marRight w:val="0"/>
      <w:marTop w:val="0"/>
      <w:marBottom w:val="0"/>
      <w:divBdr>
        <w:top w:val="none" w:sz="0" w:space="0" w:color="auto"/>
        <w:left w:val="none" w:sz="0" w:space="0" w:color="auto"/>
        <w:bottom w:val="none" w:sz="0" w:space="0" w:color="auto"/>
        <w:right w:val="none" w:sz="0" w:space="0" w:color="auto"/>
      </w:divBdr>
    </w:div>
    <w:div w:id="208883191">
      <w:bodyDiv w:val="1"/>
      <w:marLeft w:val="0"/>
      <w:marRight w:val="0"/>
      <w:marTop w:val="0"/>
      <w:marBottom w:val="0"/>
      <w:divBdr>
        <w:top w:val="none" w:sz="0" w:space="0" w:color="auto"/>
        <w:left w:val="none" w:sz="0" w:space="0" w:color="auto"/>
        <w:bottom w:val="none" w:sz="0" w:space="0" w:color="auto"/>
        <w:right w:val="none" w:sz="0" w:space="0" w:color="auto"/>
      </w:divBdr>
    </w:div>
    <w:div w:id="307906085">
      <w:bodyDiv w:val="1"/>
      <w:marLeft w:val="0"/>
      <w:marRight w:val="0"/>
      <w:marTop w:val="0"/>
      <w:marBottom w:val="0"/>
      <w:divBdr>
        <w:top w:val="none" w:sz="0" w:space="0" w:color="auto"/>
        <w:left w:val="none" w:sz="0" w:space="0" w:color="auto"/>
        <w:bottom w:val="none" w:sz="0" w:space="0" w:color="auto"/>
        <w:right w:val="none" w:sz="0" w:space="0" w:color="auto"/>
      </w:divBdr>
    </w:div>
    <w:div w:id="414018825">
      <w:bodyDiv w:val="1"/>
      <w:marLeft w:val="0"/>
      <w:marRight w:val="0"/>
      <w:marTop w:val="0"/>
      <w:marBottom w:val="0"/>
      <w:divBdr>
        <w:top w:val="none" w:sz="0" w:space="0" w:color="auto"/>
        <w:left w:val="none" w:sz="0" w:space="0" w:color="auto"/>
        <w:bottom w:val="none" w:sz="0" w:space="0" w:color="auto"/>
        <w:right w:val="none" w:sz="0" w:space="0" w:color="auto"/>
      </w:divBdr>
    </w:div>
    <w:div w:id="488600637">
      <w:bodyDiv w:val="1"/>
      <w:marLeft w:val="0"/>
      <w:marRight w:val="0"/>
      <w:marTop w:val="0"/>
      <w:marBottom w:val="0"/>
      <w:divBdr>
        <w:top w:val="none" w:sz="0" w:space="0" w:color="auto"/>
        <w:left w:val="none" w:sz="0" w:space="0" w:color="auto"/>
        <w:bottom w:val="none" w:sz="0" w:space="0" w:color="auto"/>
        <w:right w:val="none" w:sz="0" w:space="0" w:color="auto"/>
      </w:divBdr>
    </w:div>
    <w:div w:id="496458400">
      <w:bodyDiv w:val="1"/>
      <w:marLeft w:val="0"/>
      <w:marRight w:val="0"/>
      <w:marTop w:val="0"/>
      <w:marBottom w:val="0"/>
      <w:divBdr>
        <w:top w:val="none" w:sz="0" w:space="0" w:color="auto"/>
        <w:left w:val="none" w:sz="0" w:space="0" w:color="auto"/>
        <w:bottom w:val="none" w:sz="0" w:space="0" w:color="auto"/>
        <w:right w:val="none" w:sz="0" w:space="0" w:color="auto"/>
      </w:divBdr>
    </w:div>
    <w:div w:id="500858286">
      <w:bodyDiv w:val="1"/>
      <w:marLeft w:val="0"/>
      <w:marRight w:val="0"/>
      <w:marTop w:val="0"/>
      <w:marBottom w:val="0"/>
      <w:divBdr>
        <w:top w:val="none" w:sz="0" w:space="0" w:color="auto"/>
        <w:left w:val="none" w:sz="0" w:space="0" w:color="auto"/>
        <w:bottom w:val="none" w:sz="0" w:space="0" w:color="auto"/>
        <w:right w:val="none" w:sz="0" w:space="0" w:color="auto"/>
      </w:divBdr>
      <w:divsChild>
        <w:div w:id="605772250">
          <w:marLeft w:val="0"/>
          <w:marRight w:val="0"/>
          <w:marTop w:val="0"/>
          <w:marBottom w:val="0"/>
          <w:divBdr>
            <w:top w:val="none" w:sz="0" w:space="0" w:color="auto"/>
            <w:left w:val="none" w:sz="0" w:space="0" w:color="auto"/>
            <w:bottom w:val="none" w:sz="0" w:space="0" w:color="auto"/>
            <w:right w:val="none" w:sz="0" w:space="0" w:color="auto"/>
          </w:divBdr>
        </w:div>
        <w:div w:id="463039677">
          <w:marLeft w:val="0"/>
          <w:marRight w:val="0"/>
          <w:marTop w:val="0"/>
          <w:marBottom w:val="0"/>
          <w:divBdr>
            <w:top w:val="none" w:sz="0" w:space="0" w:color="auto"/>
            <w:left w:val="none" w:sz="0" w:space="0" w:color="auto"/>
            <w:bottom w:val="none" w:sz="0" w:space="0" w:color="auto"/>
            <w:right w:val="none" w:sz="0" w:space="0" w:color="auto"/>
          </w:divBdr>
        </w:div>
        <w:div w:id="666788236">
          <w:marLeft w:val="0"/>
          <w:marRight w:val="0"/>
          <w:marTop w:val="0"/>
          <w:marBottom w:val="0"/>
          <w:divBdr>
            <w:top w:val="none" w:sz="0" w:space="0" w:color="auto"/>
            <w:left w:val="none" w:sz="0" w:space="0" w:color="auto"/>
            <w:bottom w:val="none" w:sz="0" w:space="0" w:color="auto"/>
            <w:right w:val="none" w:sz="0" w:space="0" w:color="auto"/>
          </w:divBdr>
        </w:div>
        <w:div w:id="1608779527">
          <w:marLeft w:val="0"/>
          <w:marRight w:val="0"/>
          <w:marTop w:val="0"/>
          <w:marBottom w:val="0"/>
          <w:divBdr>
            <w:top w:val="none" w:sz="0" w:space="0" w:color="auto"/>
            <w:left w:val="none" w:sz="0" w:space="0" w:color="auto"/>
            <w:bottom w:val="none" w:sz="0" w:space="0" w:color="auto"/>
            <w:right w:val="none" w:sz="0" w:space="0" w:color="auto"/>
          </w:divBdr>
        </w:div>
      </w:divsChild>
    </w:div>
    <w:div w:id="529881678">
      <w:bodyDiv w:val="1"/>
      <w:marLeft w:val="0"/>
      <w:marRight w:val="0"/>
      <w:marTop w:val="0"/>
      <w:marBottom w:val="0"/>
      <w:divBdr>
        <w:top w:val="none" w:sz="0" w:space="0" w:color="auto"/>
        <w:left w:val="none" w:sz="0" w:space="0" w:color="auto"/>
        <w:bottom w:val="none" w:sz="0" w:space="0" w:color="auto"/>
        <w:right w:val="none" w:sz="0" w:space="0" w:color="auto"/>
      </w:divBdr>
    </w:div>
    <w:div w:id="618416001">
      <w:bodyDiv w:val="1"/>
      <w:marLeft w:val="0"/>
      <w:marRight w:val="0"/>
      <w:marTop w:val="0"/>
      <w:marBottom w:val="0"/>
      <w:divBdr>
        <w:top w:val="none" w:sz="0" w:space="0" w:color="auto"/>
        <w:left w:val="none" w:sz="0" w:space="0" w:color="auto"/>
        <w:bottom w:val="none" w:sz="0" w:space="0" w:color="auto"/>
        <w:right w:val="none" w:sz="0" w:space="0" w:color="auto"/>
      </w:divBdr>
    </w:div>
    <w:div w:id="646710904">
      <w:bodyDiv w:val="1"/>
      <w:marLeft w:val="0"/>
      <w:marRight w:val="0"/>
      <w:marTop w:val="0"/>
      <w:marBottom w:val="0"/>
      <w:divBdr>
        <w:top w:val="none" w:sz="0" w:space="0" w:color="auto"/>
        <w:left w:val="none" w:sz="0" w:space="0" w:color="auto"/>
        <w:bottom w:val="none" w:sz="0" w:space="0" w:color="auto"/>
        <w:right w:val="none" w:sz="0" w:space="0" w:color="auto"/>
      </w:divBdr>
    </w:div>
    <w:div w:id="713580655">
      <w:bodyDiv w:val="1"/>
      <w:marLeft w:val="0"/>
      <w:marRight w:val="0"/>
      <w:marTop w:val="0"/>
      <w:marBottom w:val="0"/>
      <w:divBdr>
        <w:top w:val="none" w:sz="0" w:space="0" w:color="auto"/>
        <w:left w:val="none" w:sz="0" w:space="0" w:color="auto"/>
        <w:bottom w:val="none" w:sz="0" w:space="0" w:color="auto"/>
        <w:right w:val="none" w:sz="0" w:space="0" w:color="auto"/>
      </w:divBdr>
    </w:div>
    <w:div w:id="788666024">
      <w:bodyDiv w:val="1"/>
      <w:marLeft w:val="0"/>
      <w:marRight w:val="0"/>
      <w:marTop w:val="0"/>
      <w:marBottom w:val="0"/>
      <w:divBdr>
        <w:top w:val="none" w:sz="0" w:space="0" w:color="auto"/>
        <w:left w:val="none" w:sz="0" w:space="0" w:color="auto"/>
        <w:bottom w:val="none" w:sz="0" w:space="0" w:color="auto"/>
        <w:right w:val="none" w:sz="0" w:space="0" w:color="auto"/>
      </w:divBdr>
    </w:div>
    <w:div w:id="973366282">
      <w:bodyDiv w:val="1"/>
      <w:marLeft w:val="0"/>
      <w:marRight w:val="0"/>
      <w:marTop w:val="0"/>
      <w:marBottom w:val="0"/>
      <w:divBdr>
        <w:top w:val="none" w:sz="0" w:space="0" w:color="auto"/>
        <w:left w:val="none" w:sz="0" w:space="0" w:color="auto"/>
        <w:bottom w:val="none" w:sz="0" w:space="0" w:color="auto"/>
        <w:right w:val="none" w:sz="0" w:space="0" w:color="auto"/>
      </w:divBdr>
    </w:div>
    <w:div w:id="997269437">
      <w:bodyDiv w:val="1"/>
      <w:marLeft w:val="0"/>
      <w:marRight w:val="0"/>
      <w:marTop w:val="0"/>
      <w:marBottom w:val="0"/>
      <w:divBdr>
        <w:top w:val="none" w:sz="0" w:space="0" w:color="auto"/>
        <w:left w:val="none" w:sz="0" w:space="0" w:color="auto"/>
        <w:bottom w:val="none" w:sz="0" w:space="0" w:color="auto"/>
        <w:right w:val="none" w:sz="0" w:space="0" w:color="auto"/>
      </w:divBdr>
    </w:div>
    <w:div w:id="1105030107">
      <w:bodyDiv w:val="1"/>
      <w:marLeft w:val="0"/>
      <w:marRight w:val="0"/>
      <w:marTop w:val="0"/>
      <w:marBottom w:val="0"/>
      <w:divBdr>
        <w:top w:val="none" w:sz="0" w:space="0" w:color="auto"/>
        <w:left w:val="none" w:sz="0" w:space="0" w:color="auto"/>
        <w:bottom w:val="none" w:sz="0" w:space="0" w:color="auto"/>
        <w:right w:val="none" w:sz="0" w:space="0" w:color="auto"/>
      </w:divBdr>
    </w:div>
    <w:div w:id="1140878753">
      <w:bodyDiv w:val="1"/>
      <w:marLeft w:val="0"/>
      <w:marRight w:val="0"/>
      <w:marTop w:val="0"/>
      <w:marBottom w:val="0"/>
      <w:divBdr>
        <w:top w:val="none" w:sz="0" w:space="0" w:color="auto"/>
        <w:left w:val="none" w:sz="0" w:space="0" w:color="auto"/>
        <w:bottom w:val="none" w:sz="0" w:space="0" w:color="auto"/>
        <w:right w:val="none" w:sz="0" w:space="0" w:color="auto"/>
      </w:divBdr>
    </w:div>
    <w:div w:id="1177185611">
      <w:bodyDiv w:val="1"/>
      <w:marLeft w:val="0"/>
      <w:marRight w:val="0"/>
      <w:marTop w:val="0"/>
      <w:marBottom w:val="0"/>
      <w:divBdr>
        <w:top w:val="none" w:sz="0" w:space="0" w:color="auto"/>
        <w:left w:val="none" w:sz="0" w:space="0" w:color="auto"/>
        <w:bottom w:val="none" w:sz="0" w:space="0" w:color="auto"/>
        <w:right w:val="none" w:sz="0" w:space="0" w:color="auto"/>
      </w:divBdr>
    </w:div>
    <w:div w:id="1306813237">
      <w:bodyDiv w:val="1"/>
      <w:marLeft w:val="0"/>
      <w:marRight w:val="0"/>
      <w:marTop w:val="0"/>
      <w:marBottom w:val="0"/>
      <w:divBdr>
        <w:top w:val="none" w:sz="0" w:space="0" w:color="auto"/>
        <w:left w:val="none" w:sz="0" w:space="0" w:color="auto"/>
        <w:bottom w:val="none" w:sz="0" w:space="0" w:color="auto"/>
        <w:right w:val="none" w:sz="0" w:space="0" w:color="auto"/>
      </w:divBdr>
    </w:div>
    <w:div w:id="1441411801">
      <w:bodyDiv w:val="1"/>
      <w:marLeft w:val="0"/>
      <w:marRight w:val="0"/>
      <w:marTop w:val="0"/>
      <w:marBottom w:val="0"/>
      <w:divBdr>
        <w:top w:val="none" w:sz="0" w:space="0" w:color="auto"/>
        <w:left w:val="none" w:sz="0" w:space="0" w:color="auto"/>
        <w:bottom w:val="none" w:sz="0" w:space="0" w:color="auto"/>
        <w:right w:val="none" w:sz="0" w:space="0" w:color="auto"/>
      </w:divBdr>
    </w:div>
    <w:div w:id="1453553034">
      <w:bodyDiv w:val="1"/>
      <w:marLeft w:val="0"/>
      <w:marRight w:val="0"/>
      <w:marTop w:val="0"/>
      <w:marBottom w:val="0"/>
      <w:divBdr>
        <w:top w:val="none" w:sz="0" w:space="0" w:color="auto"/>
        <w:left w:val="none" w:sz="0" w:space="0" w:color="auto"/>
        <w:bottom w:val="none" w:sz="0" w:space="0" w:color="auto"/>
        <w:right w:val="none" w:sz="0" w:space="0" w:color="auto"/>
      </w:divBdr>
    </w:div>
    <w:div w:id="1462764060">
      <w:bodyDiv w:val="1"/>
      <w:marLeft w:val="0"/>
      <w:marRight w:val="0"/>
      <w:marTop w:val="0"/>
      <w:marBottom w:val="0"/>
      <w:divBdr>
        <w:top w:val="none" w:sz="0" w:space="0" w:color="auto"/>
        <w:left w:val="none" w:sz="0" w:space="0" w:color="auto"/>
        <w:bottom w:val="none" w:sz="0" w:space="0" w:color="auto"/>
        <w:right w:val="none" w:sz="0" w:space="0" w:color="auto"/>
      </w:divBdr>
    </w:div>
    <w:div w:id="1546331784">
      <w:bodyDiv w:val="1"/>
      <w:marLeft w:val="0"/>
      <w:marRight w:val="0"/>
      <w:marTop w:val="0"/>
      <w:marBottom w:val="0"/>
      <w:divBdr>
        <w:top w:val="none" w:sz="0" w:space="0" w:color="auto"/>
        <w:left w:val="none" w:sz="0" w:space="0" w:color="auto"/>
        <w:bottom w:val="none" w:sz="0" w:space="0" w:color="auto"/>
        <w:right w:val="none" w:sz="0" w:space="0" w:color="auto"/>
      </w:divBdr>
    </w:div>
    <w:div w:id="1553224956">
      <w:bodyDiv w:val="1"/>
      <w:marLeft w:val="0"/>
      <w:marRight w:val="0"/>
      <w:marTop w:val="0"/>
      <w:marBottom w:val="0"/>
      <w:divBdr>
        <w:top w:val="none" w:sz="0" w:space="0" w:color="auto"/>
        <w:left w:val="none" w:sz="0" w:space="0" w:color="auto"/>
        <w:bottom w:val="none" w:sz="0" w:space="0" w:color="auto"/>
        <w:right w:val="none" w:sz="0" w:space="0" w:color="auto"/>
      </w:divBdr>
    </w:div>
    <w:div w:id="1589921052">
      <w:bodyDiv w:val="1"/>
      <w:marLeft w:val="0"/>
      <w:marRight w:val="0"/>
      <w:marTop w:val="0"/>
      <w:marBottom w:val="0"/>
      <w:divBdr>
        <w:top w:val="none" w:sz="0" w:space="0" w:color="auto"/>
        <w:left w:val="none" w:sz="0" w:space="0" w:color="auto"/>
        <w:bottom w:val="none" w:sz="0" w:space="0" w:color="auto"/>
        <w:right w:val="none" w:sz="0" w:space="0" w:color="auto"/>
      </w:divBdr>
    </w:div>
    <w:div w:id="1685474512">
      <w:bodyDiv w:val="1"/>
      <w:marLeft w:val="0"/>
      <w:marRight w:val="0"/>
      <w:marTop w:val="0"/>
      <w:marBottom w:val="0"/>
      <w:divBdr>
        <w:top w:val="none" w:sz="0" w:space="0" w:color="auto"/>
        <w:left w:val="none" w:sz="0" w:space="0" w:color="auto"/>
        <w:bottom w:val="none" w:sz="0" w:space="0" w:color="auto"/>
        <w:right w:val="none" w:sz="0" w:space="0" w:color="auto"/>
      </w:divBdr>
    </w:div>
    <w:div w:id="19396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FF3A-510A-4B24-AF6B-B0BF21E2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9571</Words>
  <Characters>54556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cdunsmore</dc:creator>
  <cp:lastModifiedBy>Kirsty Pazek-Smith</cp:lastModifiedBy>
  <cp:revision>5</cp:revision>
  <cp:lastPrinted>2014-05-30T18:09:00Z</cp:lastPrinted>
  <dcterms:created xsi:type="dcterms:W3CDTF">2014-09-30T16:31:00Z</dcterms:created>
  <dcterms:modified xsi:type="dcterms:W3CDTF">2014-09-30T16:44:00Z</dcterms:modified>
</cp:coreProperties>
</file>