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tabs>
          <w:tab w:val="center" w:leader="none" w:pos="4680"/>
          <w:tab w:val="center" w:leader="none" w:pos="4680"/>
        </w:tabs>
        <w:jc w:val="center"/>
        <w:rPr>
          <w:rFonts w:ascii="Nunito" w:cs="Nunito" w:eastAsia="Nunito" w:hAnsi="Nunito"/>
          <w:sz w:val="24"/>
          <w:szCs w:val="24"/>
        </w:rPr>
      </w:pPr>
      <w:bookmarkStart w:colFirst="0" w:colLast="0" w:name="_heading=h.361ntaphrt1q" w:id="0"/>
      <w:bookmarkEnd w:id="0"/>
      <w:r w:rsidDel="00000000" w:rsidR="00000000" w:rsidRPr="00000000">
        <w:rPr>
          <w:rFonts w:ascii="Nunito" w:cs="Nunito" w:eastAsia="Nunito" w:hAnsi="Nunito"/>
          <w:sz w:val="40"/>
          <w:szCs w:val="40"/>
        </w:rPr>
        <w:drawing>
          <wp:inline distB="0" distT="0" distL="0" distR="0">
            <wp:extent cx="2603500" cy="514350"/>
            <wp:effectExtent b="0" l="0" r="0" t="0"/>
            <wp:docPr descr="https://lh4.googleusercontent.com/n3JU_wk8WD_iq_1b92-N3sM1lyoaoEO1uHonH0PjXeRTzGbZwpwKFDpoX6-uzpVEDkDHGwFOo-iKI_M6oLGmO3HXYhmOY15MmtYOg7I4eDwFcBaiYyrmErF1Xra_2n8mfmnuQ9SMsTAG" id="8" name="image1.png"/>
            <a:graphic>
              <a:graphicData uri="http://schemas.openxmlformats.org/drawingml/2006/picture">
                <pic:pic>
                  <pic:nvPicPr>
                    <pic:cNvPr descr="https://lh4.googleusercontent.com/n3JU_wk8WD_iq_1b92-N3sM1lyoaoEO1uHonH0PjXeRTzGbZwpwKFDpoX6-uzpVEDkDHGwFOo-iKI_M6oLGmO3HXYhmOY15MmtYOg7I4eDwFcBaiYyrmErF1Xra_2n8mfmnuQ9SMsTAG" id="0" name="image1.png"/>
                    <pic:cNvPicPr preferRelativeResize="0"/>
                  </pic:nvPicPr>
                  <pic:blipFill>
                    <a:blip r:embed="rId7"/>
                    <a:srcRect b="0" l="0" r="0" t="0"/>
                    <a:stretch>
                      <a:fillRect/>
                    </a:stretch>
                  </pic:blipFill>
                  <pic:spPr>
                    <a:xfrm>
                      <a:off x="0" y="0"/>
                      <a:ext cx="2603500" cy="514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680"/>
        </w:tabs>
        <w:jc w:val="cente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03">
      <w:pPr>
        <w:tabs>
          <w:tab w:val="center" w:leader="none" w:pos="4680"/>
        </w:tabs>
        <w:jc w:val="center"/>
        <w:rPr>
          <w:rFonts w:ascii="Nunito" w:cs="Nunito" w:eastAsia="Nunito" w:hAnsi="Nunito"/>
        </w:rPr>
      </w:pPr>
      <w:r w:rsidDel="00000000" w:rsidR="00000000" w:rsidRPr="00000000">
        <w:rPr>
          <w:rFonts w:ascii="Nunito" w:cs="Nunito" w:eastAsia="Nunito" w:hAnsi="Nunito"/>
          <w:b w:val="1"/>
          <w:sz w:val="24"/>
          <w:szCs w:val="24"/>
          <w:rtl w:val="0"/>
        </w:rPr>
        <w:t xml:space="preserve">Toronto Metropolitan University</w:t>
      </w:r>
      <w:r w:rsidDel="00000000" w:rsidR="00000000" w:rsidRPr="00000000">
        <w:rPr>
          <w:rtl w:val="0"/>
        </w:rPr>
      </w:r>
    </w:p>
    <w:p w:rsidR="00000000" w:rsidDel="00000000" w:rsidP="00000000" w:rsidRDefault="00000000" w:rsidRPr="00000000" w14:paraId="00000004">
      <w:pPr>
        <w:tabs>
          <w:tab w:val="center" w:leader="none" w:pos="4680"/>
        </w:tabs>
        <w:jc w:val="center"/>
        <w:rPr>
          <w:rFonts w:ascii="Nunito" w:cs="Nunito" w:eastAsia="Nunito" w:hAnsi="Nunito"/>
        </w:rPr>
      </w:pPr>
      <w:r w:rsidDel="00000000" w:rsidR="00000000" w:rsidRPr="00000000">
        <w:rPr>
          <w:rFonts w:ascii="Nunito" w:cs="Nunito" w:eastAsia="Nunito" w:hAnsi="Nunito"/>
          <w:b w:val="1"/>
          <w:sz w:val="24"/>
          <w:szCs w:val="24"/>
          <w:rtl w:val="0"/>
        </w:rPr>
        <w:t xml:space="preserve">Daphne Cockwell School of Nursing</w:t>
      </w:r>
      <w:r w:rsidDel="00000000" w:rsidR="00000000" w:rsidRPr="00000000">
        <w:rPr>
          <w:rtl w:val="0"/>
        </w:rPr>
      </w:r>
    </w:p>
    <w:p w:rsidR="00000000" w:rsidDel="00000000" w:rsidP="00000000" w:rsidRDefault="00000000" w:rsidRPr="00000000" w14:paraId="00000005">
      <w:pPr>
        <w:tabs>
          <w:tab w:val="center" w:leader="none" w:pos="4680"/>
        </w:tabs>
        <w:jc w:val="center"/>
        <w:rPr>
          <w:rFonts w:ascii="Nunito" w:cs="Nunito" w:eastAsia="Nunito" w:hAnsi="Nunito"/>
        </w:rPr>
      </w:pPr>
      <w:r w:rsidDel="00000000" w:rsidR="00000000" w:rsidRPr="00000000">
        <w:rPr>
          <w:rFonts w:ascii="Nunito" w:cs="Nunito" w:eastAsia="Nunito" w:hAnsi="Nunito"/>
          <w:b w:val="1"/>
          <w:sz w:val="24"/>
          <w:szCs w:val="24"/>
          <w:rtl w:val="0"/>
        </w:rPr>
        <w:t xml:space="preserve">Master of Nursing</w:t>
      </w:r>
      <w:r w:rsidDel="00000000" w:rsidR="00000000" w:rsidRPr="00000000">
        <w:rPr>
          <w:rtl w:val="0"/>
        </w:rPr>
      </w:r>
    </w:p>
    <w:p w:rsidR="00000000" w:rsidDel="00000000" w:rsidP="00000000" w:rsidRDefault="00000000" w:rsidRPr="00000000" w14:paraId="00000006">
      <w:pPr>
        <w:tabs>
          <w:tab w:val="center" w:leader="none" w:pos="4680"/>
        </w:tabs>
        <w:jc w:val="center"/>
        <w:rPr>
          <w:rFonts w:ascii="Nunito" w:cs="Nunito" w:eastAsia="Nunito" w:hAnsi="Nunito"/>
        </w:rPr>
      </w:pPr>
      <w:r w:rsidDel="00000000" w:rsidR="00000000" w:rsidRPr="00000000">
        <w:rPr>
          <w:rtl w:val="0"/>
        </w:rPr>
      </w:r>
    </w:p>
    <w:p w:rsidR="00000000" w:rsidDel="00000000" w:rsidP="00000000" w:rsidRDefault="00000000" w:rsidRPr="00000000" w14:paraId="00000007">
      <w:pPr>
        <w:pStyle w:val="Title"/>
        <w:tabs>
          <w:tab w:val="center" w:leader="none" w:pos="4680"/>
          <w:tab w:val="center" w:leader="none" w:pos="4680"/>
          <w:tab w:val="center" w:leader="none" w:pos="4680"/>
        </w:tabs>
        <w:jc w:val="center"/>
        <w:rPr>
          <w:rFonts w:ascii="Nunito" w:cs="Nunito" w:eastAsia="Nunito" w:hAnsi="Nunito"/>
        </w:rPr>
      </w:pPr>
      <w:bookmarkStart w:colFirst="0" w:colLast="0" w:name="_heading=h.ry4wbbr6zmc9" w:id="1"/>
      <w:bookmarkEnd w:id="1"/>
      <w:r w:rsidDel="00000000" w:rsidR="00000000" w:rsidRPr="00000000">
        <w:rPr>
          <w:rFonts w:ascii="Nunito" w:cs="Nunito" w:eastAsia="Nunito" w:hAnsi="Nunito"/>
          <w:rtl w:val="0"/>
        </w:rPr>
        <w:t xml:space="preserve">MN8905</w:t>
      </w:r>
    </w:p>
    <w:p w:rsidR="00000000" w:rsidDel="00000000" w:rsidP="00000000" w:rsidRDefault="00000000" w:rsidRPr="00000000" w14:paraId="00000008">
      <w:pPr>
        <w:pStyle w:val="Title"/>
        <w:tabs>
          <w:tab w:val="center" w:leader="none" w:pos="4680"/>
          <w:tab w:val="center" w:leader="none" w:pos="4680"/>
          <w:tab w:val="center" w:leader="none" w:pos="4680"/>
        </w:tabs>
        <w:jc w:val="center"/>
        <w:rPr>
          <w:rFonts w:ascii="Nunito" w:cs="Nunito" w:eastAsia="Nunito" w:hAnsi="Nunito"/>
        </w:rPr>
      </w:pPr>
      <w:bookmarkStart w:colFirst="0" w:colLast="0" w:name="_heading=h.bahvh6ixv7vf" w:id="2"/>
      <w:bookmarkEnd w:id="2"/>
      <w:r w:rsidDel="00000000" w:rsidR="00000000" w:rsidRPr="00000000">
        <w:rPr>
          <w:rFonts w:ascii="Nunito" w:cs="Nunito" w:eastAsia="Nunito" w:hAnsi="Nunito"/>
          <w:rtl w:val="0"/>
        </w:rPr>
        <w:t xml:space="preserve">PRACTICUM IN PROFESSIONAL NURSING ADVANCEMENT</w:t>
      </w:r>
    </w:p>
    <w:p w:rsidR="00000000" w:rsidDel="00000000" w:rsidP="00000000" w:rsidRDefault="00000000" w:rsidRPr="00000000" w14:paraId="00000009">
      <w:pPr>
        <w:jc w:val="cente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0A">
      <w:pPr>
        <w:rPr>
          <w:rFonts w:ascii="Nunito" w:cs="Nunito" w:eastAsia="Nunito" w:hAnsi="Nunito"/>
        </w:rPr>
      </w:pPr>
      <w:r w:rsidDel="00000000" w:rsidR="00000000" w:rsidRPr="00000000">
        <w:rPr>
          <w:rtl w:val="0"/>
        </w:rPr>
      </w:r>
    </w:p>
    <w:p w:rsidR="00000000" w:rsidDel="00000000" w:rsidP="00000000" w:rsidRDefault="00000000" w:rsidRPr="00000000" w14:paraId="0000000B">
      <w:pPr>
        <w:pStyle w:val="Heading1"/>
        <w:rPr>
          <w:rFonts w:ascii="Nunito" w:cs="Nunito" w:eastAsia="Nunito" w:hAnsi="Nunito"/>
        </w:rPr>
      </w:pPr>
      <w:bookmarkStart w:colFirst="0" w:colLast="0" w:name="_heading=h.6mkm71kws0wt" w:id="3"/>
      <w:bookmarkEnd w:id="3"/>
      <w:r w:rsidDel="00000000" w:rsidR="00000000" w:rsidRPr="00000000">
        <w:rPr>
          <w:rFonts w:ascii="Nunito" w:cs="Nunito" w:eastAsia="Nunito" w:hAnsi="Nunito"/>
          <w:rtl w:val="0"/>
        </w:rPr>
        <w:t xml:space="preserve">COURSE DESCRIPTION:</w:t>
      </w:r>
    </w:p>
    <w:p w:rsidR="00000000" w:rsidDel="00000000" w:rsidP="00000000" w:rsidRDefault="00000000" w:rsidRPr="00000000" w14:paraId="0000000C">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Students will focus on the synthesis and application of knowledge at an advanced level within their chosen field of study. They will be expected to successfully apply knowledge gained from practice, theory and research in their advanced role during their practicum experience. Students will be expected to promote change and demonstrate innovation by extending the boundaries of nursing inherent in their practicum setting (e.g. contribute to knowledge development and the advancement of the profession).  </w:t>
      </w:r>
    </w:p>
    <w:p w:rsidR="00000000" w:rsidDel="00000000" w:rsidP="00000000" w:rsidRDefault="00000000" w:rsidRPr="00000000" w14:paraId="0000000D">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E">
      <w:pPr>
        <w:pStyle w:val="Heading1"/>
        <w:rPr>
          <w:rFonts w:ascii="Nunito" w:cs="Nunito" w:eastAsia="Nunito" w:hAnsi="Nunito"/>
        </w:rPr>
      </w:pPr>
      <w:bookmarkStart w:colFirst="0" w:colLast="0" w:name="_heading=h.gjdgxs" w:id="4"/>
      <w:bookmarkEnd w:id="4"/>
      <w:r w:rsidDel="00000000" w:rsidR="00000000" w:rsidRPr="00000000">
        <w:rPr>
          <w:rFonts w:ascii="Nunito" w:cs="Nunito" w:eastAsia="Nunito" w:hAnsi="Nunito"/>
          <w:rtl w:val="0"/>
        </w:rPr>
        <w:t xml:space="preserve">COURSE OBJECTIVES:</w:t>
      </w:r>
    </w:p>
    <w:p w:rsidR="00000000" w:rsidDel="00000000" w:rsidP="00000000" w:rsidRDefault="00000000" w:rsidRPr="00000000" w14:paraId="0000000F">
      <w:pPr>
        <w:rPr>
          <w:rFonts w:ascii="Nunito" w:cs="Nunito" w:eastAsia="Nunito" w:hAnsi="Nunito"/>
        </w:rPr>
      </w:pPr>
      <w:r w:rsidDel="00000000" w:rsidR="00000000" w:rsidRPr="00000000">
        <w:rPr>
          <w:rFonts w:ascii="Nunito" w:cs="Nunito" w:eastAsia="Nunito" w:hAnsi="Nunito"/>
          <w:sz w:val="24"/>
          <w:szCs w:val="24"/>
          <w:rtl w:val="0"/>
        </w:rPr>
        <w:t xml:space="preserve">At the completion of the course the student will:</w:t>
      </w:r>
      <w:r w:rsidDel="00000000" w:rsidR="00000000" w:rsidRPr="00000000">
        <w:rPr>
          <w:rtl w:val="0"/>
        </w:rPr>
      </w:r>
    </w:p>
    <w:p w:rsidR="00000000" w:rsidDel="00000000" w:rsidP="00000000" w:rsidRDefault="00000000" w:rsidRPr="00000000" w14:paraId="00000010">
      <w:pPr>
        <w:widowControl w:val="0"/>
        <w:numPr>
          <w:ilvl w:val="0"/>
          <w:numId w:val="1"/>
        </w:numPr>
        <w:ind w:left="426" w:hanging="284"/>
        <w:rPr>
          <w:rFonts w:ascii="Nunito" w:cs="Nunito" w:eastAsia="Nunito" w:hAnsi="Nunito"/>
          <w:sz w:val="24"/>
          <w:szCs w:val="24"/>
        </w:rPr>
      </w:pPr>
      <w:r w:rsidDel="00000000" w:rsidR="00000000" w:rsidRPr="00000000">
        <w:rPr>
          <w:rFonts w:ascii="Nunito" w:cs="Nunito" w:eastAsia="Nunito" w:hAnsi="Nunito"/>
          <w:sz w:val="24"/>
          <w:szCs w:val="24"/>
          <w:rtl w:val="0"/>
        </w:rPr>
        <w:t xml:space="preserve">Demonstrate abilities to expand and advance practice in specialized settings. </w:t>
      </w:r>
    </w:p>
    <w:p w:rsidR="00000000" w:rsidDel="00000000" w:rsidP="00000000" w:rsidRDefault="00000000" w:rsidRPr="00000000" w14:paraId="00000011">
      <w:pPr>
        <w:widowControl w:val="0"/>
        <w:numPr>
          <w:ilvl w:val="0"/>
          <w:numId w:val="1"/>
        </w:numPr>
        <w:ind w:left="426" w:hanging="284"/>
        <w:rPr>
          <w:rFonts w:ascii="Nunito" w:cs="Nunito" w:eastAsia="Nunito" w:hAnsi="Nunito"/>
          <w:sz w:val="24"/>
          <w:szCs w:val="24"/>
        </w:rPr>
      </w:pPr>
      <w:r w:rsidDel="00000000" w:rsidR="00000000" w:rsidRPr="00000000">
        <w:rPr>
          <w:rFonts w:ascii="Nunito" w:cs="Nunito" w:eastAsia="Nunito" w:hAnsi="Nunito"/>
          <w:sz w:val="24"/>
          <w:szCs w:val="24"/>
          <w:rtl w:val="0"/>
        </w:rPr>
        <w:t xml:space="preserve">Establish beginning level competencies in advanced practice as defined in the </w:t>
      </w:r>
      <w:r w:rsidDel="00000000" w:rsidR="00000000" w:rsidRPr="00000000">
        <w:rPr>
          <w:rFonts w:ascii="Nunito" w:cs="Nunito" w:eastAsia="Nunito" w:hAnsi="Nunito"/>
          <w:i w:val="1"/>
          <w:sz w:val="24"/>
          <w:szCs w:val="24"/>
          <w:rtl w:val="0"/>
        </w:rPr>
        <w:t xml:space="preserve">Advanced Practice Nursing: A Pan-Canadian Framework</w:t>
      </w:r>
      <w:r w:rsidDel="00000000" w:rsidR="00000000" w:rsidRPr="00000000">
        <w:rPr>
          <w:rFonts w:ascii="Nunito" w:cs="Nunito" w:eastAsia="Nunito" w:hAnsi="Nunito"/>
          <w:sz w:val="24"/>
          <w:szCs w:val="24"/>
          <w:rtl w:val="0"/>
        </w:rPr>
        <w:t xml:space="preserve"> (2019) and/or other relevant frameworks.</w:t>
      </w:r>
    </w:p>
    <w:p w:rsidR="00000000" w:rsidDel="00000000" w:rsidP="00000000" w:rsidRDefault="00000000" w:rsidRPr="00000000" w14:paraId="00000012">
      <w:pPr>
        <w:widowControl w:val="0"/>
        <w:numPr>
          <w:ilvl w:val="0"/>
          <w:numId w:val="1"/>
        </w:numPr>
        <w:ind w:left="426" w:hanging="284"/>
        <w:rPr>
          <w:rFonts w:ascii="Nunito" w:cs="Nunito" w:eastAsia="Nunito" w:hAnsi="Nunito"/>
          <w:sz w:val="24"/>
          <w:szCs w:val="24"/>
        </w:rPr>
      </w:pPr>
      <w:r w:rsidDel="00000000" w:rsidR="00000000" w:rsidRPr="00000000">
        <w:rPr>
          <w:rFonts w:ascii="Nunito" w:cs="Nunito" w:eastAsia="Nunito" w:hAnsi="Nunito"/>
          <w:sz w:val="24"/>
          <w:szCs w:val="24"/>
          <w:rtl w:val="0"/>
        </w:rPr>
        <w:t xml:space="preserve">Integrate relevant theory and research evidence into advanced nursing practice.</w:t>
      </w:r>
    </w:p>
    <w:p w:rsidR="00000000" w:rsidDel="00000000" w:rsidP="00000000" w:rsidRDefault="00000000" w:rsidRPr="00000000" w14:paraId="00000013">
      <w:pPr>
        <w:widowControl w:val="0"/>
        <w:numPr>
          <w:ilvl w:val="0"/>
          <w:numId w:val="1"/>
        </w:numPr>
        <w:ind w:left="426" w:hanging="284"/>
        <w:rPr>
          <w:rFonts w:ascii="Nunito" w:cs="Nunito" w:eastAsia="Nunito" w:hAnsi="Nunito"/>
          <w:sz w:val="24"/>
          <w:szCs w:val="24"/>
        </w:rPr>
      </w:pPr>
      <w:r w:rsidDel="00000000" w:rsidR="00000000" w:rsidRPr="00000000">
        <w:rPr>
          <w:rFonts w:ascii="Nunito" w:cs="Nunito" w:eastAsia="Nunito" w:hAnsi="Nunito"/>
          <w:sz w:val="24"/>
          <w:szCs w:val="24"/>
          <w:rtl w:val="0"/>
        </w:rPr>
        <w:t xml:space="preserve">Work collaboratively to plan, coordinate, implement, and evaluate programs to meet client needs. </w:t>
      </w:r>
    </w:p>
    <w:p w:rsidR="00000000" w:rsidDel="00000000" w:rsidP="00000000" w:rsidRDefault="00000000" w:rsidRPr="00000000" w14:paraId="00000014">
      <w:pPr>
        <w:widowControl w:val="0"/>
        <w:numPr>
          <w:ilvl w:val="0"/>
          <w:numId w:val="1"/>
        </w:numPr>
        <w:ind w:left="426" w:hanging="284"/>
        <w:rPr>
          <w:rFonts w:ascii="Nunito" w:cs="Nunito" w:eastAsia="Nunito" w:hAnsi="Nunito"/>
          <w:sz w:val="24"/>
          <w:szCs w:val="24"/>
        </w:rPr>
      </w:pPr>
      <w:r w:rsidDel="00000000" w:rsidR="00000000" w:rsidRPr="00000000">
        <w:rPr>
          <w:rFonts w:ascii="Nunito" w:cs="Nunito" w:eastAsia="Nunito" w:hAnsi="Nunito"/>
          <w:sz w:val="24"/>
          <w:szCs w:val="24"/>
          <w:rtl w:val="0"/>
        </w:rPr>
        <w:t xml:space="preserve">Demonstrate ability to influence practice and facilitate change. </w:t>
      </w:r>
    </w:p>
    <w:p w:rsidR="00000000" w:rsidDel="00000000" w:rsidP="00000000" w:rsidRDefault="00000000" w:rsidRPr="00000000" w14:paraId="00000015">
      <w:pPr>
        <w:widowControl w:val="0"/>
        <w:numPr>
          <w:ilvl w:val="0"/>
          <w:numId w:val="1"/>
        </w:numPr>
        <w:ind w:left="426" w:hanging="284"/>
        <w:rPr>
          <w:rFonts w:ascii="Nunito" w:cs="Nunito" w:eastAsia="Nunito" w:hAnsi="Nunito"/>
          <w:sz w:val="24"/>
          <w:szCs w:val="24"/>
        </w:rPr>
      </w:pPr>
      <w:r w:rsidDel="00000000" w:rsidR="00000000" w:rsidRPr="00000000">
        <w:rPr>
          <w:rFonts w:ascii="Nunito" w:cs="Nunito" w:eastAsia="Nunito" w:hAnsi="Nunito"/>
          <w:sz w:val="24"/>
          <w:szCs w:val="24"/>
          <w:rtl w:val="0"/>
        </w:rPr>
        <w:t xml:space="preserve">Demonstrate effective communication and collaboration skills. </w:t>
      </w:r>
    </w:p>
    <w:p w:rsidR="00000000" w:rsidDel="00000000" w:rsidP="00000000" w:rsidRDefault="00000000" w:rsidRPr="00000000" w14:paraId="00000016">
      <w:pPr>
        <w:widowControl w:val="0"/>
        <w:numPr>
          <w:ilvl w:val="0"/>
          <w:numId w:val="1"/>
        </w:numPr>
        <w:ind w:left="426" w:hanging="284"/>
        <w:rPr>
          <w:rFonts w:ascii="Nunito" w:cs="Nunito" w:eastAsia="Nunito" w:hAnsi="Nunito"/>
          <w:sz w:val="24"/>
          <w:szCs w:val="24"/>
        </w:rPr>
      </w:pPr>
      <w:r w:rsidDel="00000000" w:rsidR="00000000" w:rsidRPr="00000000">
        <w:rPr>
          <w:rFonts w:ascii="Nunito" w:cs="Nunito" w:eastAsia="Nunito" w:hAnsi="Nunito"/>
          <w:sz w:val="24"/>
          <w:szCs w:val="24"/>
          <w:rtl w:val="0"/>
        </w:rPr>
        <w:t xml:space="preserve">Practice in an ethical manner that reflects knowledge, skill, insight, and clinical judgment</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17">
      <w:pPr>
        <w:numPr>
          <w:ilvl w:val="0"/>
          <w:numId w:val="1"/>
        </w:numPr>
        <w:ind w:left="426" w:hanging="284"/>
        <w:rPr>
          <w:rFonts w:ascii="Nunito" w:cs="Nunito" w:eastAsia="Nunito" w:hAnsi="Nunito"/>
          <w:sz w:val="24"/>
          <w:szCs w:val="24"/>
        </w:rPr>
      </w:pPr>
      <w:r w:rsidDel="00000000" w:rsidR="00000000" w:rsidRPr="00000000">
        <w:rPr>
          <w:rFonts w:ascii="Nunito" w:cs="Nunito" w:eastAsia="Nunito" w:hAnsi="Nunito"/>
          <w:sz w:val="24"/>
          <w:szCs w:val="24"/>
          <w:rtl w:val="0"/>
        </w:rPr>
        <w:t xml:space="preserve">Demonstrate an understanding of the role of the advanced practice nurse in dealing with Indigenous health issues related intercultural competencies.</w:t>
      </w:r>
    </w:p>
    <w:p w:rsidR="00000000" w:rsidDel="00000000" w:rsidP="00000000" w:rsidRDefault="00000000" w:rsidRPr="00000000" w14:paraId="00000018">
      <w:pPr>
        <w:rPr>
          <w:rFonts w:ascii="Nunito" w:cs="Nunito" w:eastAsia="Nunito" w:hAnsi="Nunito"/>
          <w:b w:val="1"/>
          <w:smallCaps w:val="1"/>
          <w:sz w:val="24"/>
          <w:szCs w:val="24"/>
        </w:rPr>
      </w:pPr>
      <w:r w:rsidDel="00000000" w:rsidR="00000000" w:rsidRPr="00000000">
        <w:rPr>
          <w:rtl w:val="0"/>
        </w:rPr>
      </w:r>
    </w:p>
    <w:p w:rsidR="00000000" w:rsidDel="00000000" w:rsidP="00000000" w:rsidRDefault="00000000" w:rsidRPr="00000000" w14:paraId="00000019">
      <w:pPr>
        <w:pStyle w:val="Heading1"/>
        <w:rPr>
          <w:rFonts w:ascii="Nunito" w:cs="Nunito" w:eastAsia="Nunito" w:hAnsi="Nunito"/>
        </w:rPr>
      </w:pPr>
      <w:bookmarkStart w:colFirst="0" w:colLast="0" w:name="_heading=h.dp0fw24zrao0" w:id="5"/>
      <w:bookmarkEnd w:id="5"/>
      <w:r w:rsidDel="00000000" w:rsidR="00000000" w:rsidRPr="00000000">
        <w:rPr>
          <w:rFonts w:ascii="Nunito" w:cs="Nunito" w:eastAsia="Nunito" w:hAnsi="Nunito"/>
          <w:rtl w:val="0"/>
        </w:rPr>
        <w:t xml:space="preserve">SCHEDULED HOURS:  </w:t>
      </w:r>
    </w:p>
    <w:p w:rsidR="00000000" w:rsidDel="00000000" w:rsidP="00000000" w:rsidRDefault="00000000" w:rsidRPr="00000000" w14:paraId="0000001A">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Seminar: 3 hours/week</w:t>
      </w:r>
    </w:p>
    <w:p w:rsidR="00000000" w:rsidDel="00000000" w:rsidP="00000000" w:rsidRDefault="00000000" w:rsidRPr="00000000" w14:paraId="0000001B">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Practicum: </w:t>
      </w:r>
      <w:r w:rsidDel="00000000" w:rsidR="00000000" w:rsidRPr="00000000">
        <w:rPr>
          <w:rFonts w:ascii="Nunito" w:cs="Nunito" w:eastAsia="Nunito" w:hAnsi="Nunito"/>
          <w:sz w:val="24"/>
          <w:szCs w:val="24"/>
          <w:rtl w:val="0"/>
        </w:rPr>
        <w:t xml:space="preserve">16 hours/week for 12 weeks (192 hours).  </w:t>
      </w:r>
    </w:p>
    <w:p w:rsidR="00000000" w:rsidDel="00000000" w:rsidP="00000000" w:rsidRDefault="00000000" w:rsidRPr="00000000" w14:paraId="0000001C">
      <w:pPr>
        <w:rPr>
          <w:rFonts w:ascii="Nunito" w:cs="Nunito" w:eastAsia="Nunito" w:hAnsi="Nunito"/>
        </w:rPr>
      </w:pPr>
      <w:r w:rsidDel="00000000" w:rsidR="00000000" w:rsidRPr="00000000">
        <w:rPr>
          <w:rFonts w:ascii="Nunito" w:cs="Nunito" w:eastAsia="Nunito" w:hAnsi="Nunito"/>
          <w:b w:val="1"/>
          <w:i w:val="1"/>
          <w:sz w:val="24"/>
          <w:szCs w:val="24"/>
          <w:rtl w:val="0"/>
        </w:rPr>
        <w:t xml:space="preserve">Note:</w:t>
      </w:r>
      <w:r w:rsidDel="00000000" w:rsidR="00000000" w:rsidRPr="00000000">
        <w:rPr>
          <w:rFonts w:ascii="Nunito" w:cs="Nunito" w:eastAsia="Nunito" w:hAnsi="Nunito"/>
          <w:sz w:val="24"/>
          <w:szCs w:val="24"/>
          <w:rtl w:val="0"/>
        </w:rPr>
        <w:t xml:space="preserve"> Practicum hours are completed over a minimum of 10 weeks and cannot be completed prior to Week 10 of the term.</w:t>
      </w:r>
      <w:r w:rsidDel="00000000" w:rsidR="00000000" w:rsidRPr="00000000">
        <w:rPr>
          <w:rtl w:val="0"/>
        </w:rPr>
      </w:r>
    </w:p>
    <w:p w:rsidR="00000000" w:rsidDel="00000000" w:rsidP="00000000" w:rsidRDefault="00000000" w:rsidRPr="00000000" w14:paraId="0000001D">
      <w:pPr>
        <w:rPr>
          <w:rFonts w:ascii="Nunito" w:cs="Nunito" w:eastAsia="Nunito" w:hAnsi="Nunito"/>
        </w:rPr>
      </w:pPr>
      <w:r w:rsidDel="00000000" w:rsidR="00000000" w:rsidRPr="00000000">
        <w:rPr>
          <w:rtl w:val="0"/>
        </w:rPr>
      </w:r>
    </w:p>
    <w:p w:rsidR="00000000" w:rsidDel="00000000" w:rsidP="00000000" w:rsidRDefault="00000000" w:rsidRPr="00000000" w14:paraId="0000001E">
      <w:pPr>
        <w:pStyle w:val="Heading1"/>
        <w:rPr>
          <w:rFonts w:ascii="Nunito" w:cs="Nunito" w:eastAsia="Nunito" w:hAnsi="Nunito"/>
        </w:rPr>
      </w:pPr>
      <w:bookmarkStart w:colFirst="0" w:colLast="0" w:name="_heading=h.hhk95luf1l8n" w:id="6"/>
      <w:bookmarkEnd w:id="6"/>
      <w:r w:rsidDel="00000000" w:rsidR="00000000" w:rsidRPr="00000000">
        <w:rPr>
          <w:rFonts w:ascii="Nunito" w:cs="Nunito" w:eastAsia="Nunito" w:hAnsi="Nunito"/>
          <w:rtl w:val="0"/>
        </w:rPr>
        <w:t xml:space="preserve">COURSE REQUIREMENTS:</w:t>
      </w:r>
    </w:p>
    <w:p w:rsidR="00000000" w:rsidDel="00000000" w:rsidP="00000000" w:rsidRDefault="00000000" w:rsidRPr="00000000" w14:paraId="0000001F">
      <w:pPr>
        <w:pStyle w:val="Heading2"/>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Nunito" w:cs="Nunito" w:eastAsia="Nunito" w:hAnsi="Nunito"/>
        </w:rPr>
      </w:pPr>
      <w:bookmarkStart w:colFirst="0" w:colLast="0" w:name="_heading=h.p6a1x61gumww" w:id="7"/>
      <w:bookmarkEnd w:id="7"/>
      <w:r w:rsidDel="00000000" w:rsidR="00000000" w:rsidRPr="00000000">
        <w:rPr>
          <w:rFonts w:ascii="Nunito" w:cs="Nunito" w:eastAsia="Nunito" w:hAnsi="Nunito"/>
          <w:rtl w:val="0"/>
        </w:rPr>
        <w:t xml:space="preserve">Advanced Nursing Practicum</w:t>
      </w:r>
    </w:p>
    <w:p w:rsidR="00000000" w:rsidDel="00000000" w:rsidP="00000000" w:rsidRDefault="00000000" w:rsidRPr="00000000" w14:paraId="00000020">
      <w:pPr>
        <w:rPr>
          <w:rFonts w:ascii="Nunito" w:cs="Nunito" w:eastAsia="Nunito" w:hAnsi="Nunito"/>
        </w:rPr>
      </w:pPr>
      <w:r w:rsidDel="00000000" w:rsidR="00000000" w:rsidRPr="00000000">
        <w:rPr>
          <w:rFonts w:ascii="Nunito" w:cs="Nunito" w:eastAsia="Nunito" w:hAnsi="Nunito"/>
          <w:sz w:val="24"/>
          <w:szCs w:val="24"/>
          <w:rtl w:val="0"/>
        </w:rPr>
        <w:t xml:space="preserve">Students will work with MN8905 faculty and the MN Placement Coordinator to negotiate and confirm a practicum placement. Students will identify a preceptor with graduate education with whom they will work closely during their 12-week practicum. Students are expected to engage in face-to-face collaboration with their preceptors at least weekly throughout the term to discuss project progression. In addition, students are expected to dialogue frequently with their preceptor and others in the placement about the meaning of the project activities for their socialization to the APN role and to spend time collaborating with relevant stakeholders on the development of a project identified within their practicum settings. These requirements are essential to facilitate students’ socialization into roles that are responsible for advancing professional nursing and to maximize student learning about these roles and related expectations, opportunities, and challenges. </w:t>
      </w:r>
      <w:r w:rsidDel="00000000" w:rsidR="00000000" w:rsidRPr="00000000">
        <w:rPr>
          <w:rtl w:val="0"/>
        </w:rPr>
      </w:r>
    </w:p>
    <w:p w:rsidR="00000000" w:rsidDel="00000000" w:rsidP="00000000" w:rsidRDefault="00000000" w:rsidRPr="00000000" w14:paraId="00000021">
      <w:pPr>
        <w:rPr>
          <w:rFonts w:ascii="Nunito" w:cs="Nunito" w:eastAsia="Nunito" w:hAnsi="Nunito"/>
        </w:rPr>
      </w:pPr>
      <w:r w:rsidDel="00000000" w:rsidR="00000000" w:rsidRPr="00000000">
        <w:rPr>
          <w:rtl w:val="0"/>
        </w:rPr>
      </w:r>
    </w:p>
    <w:p w:rsidR="00000000" w:rsidDel="00000000" w:rsidP="00000000" w:rsidRDefault="00000000" w:rsidRPr="00000000" w14:paraId="00000022">
      <w:pPr>
        <w:rPr>
          <w:rFonts w:ascii="Nunito" w:cs="Nunito" w:eastAsia="Nunito" w:hAnsi="Nunito"/>
        </w:rPr>
      </w:pPr>
      <w:r w:rsidDel="00000000" w:rsidR="00000000" w:rsidRPr="00000000">
        <w:rPr>
          <w:rFonts w:ascii="Nunito" w:cs="Nunito" w:eastAsia="Nunito" w:hAnsi="Nunito"/>
          <w:sz w:val="24"/>
          <w:szCs w:val="24"/>
          <w:rtl w:val="0"/>
        </w:rPr>
        <w:t xml:space="preserve">During the practicum experience, students are expected to complete a major project that will contribute to the organization, based on their individual interests, preceptor recommendations and the needs of the individual settings. The focus of the project is defined through negotiation between students and their preceptors and with input from faculty. Specific objectives, strategies and techniques, resources, and indicators of achievement related to the project will be reflected as a component of the student’s learning plan.  </w:t>
      </w:r>
      <w:r w:rsidDel="00000000" w:rsidR="00000000" w:rsidRPr="00000000">
        <w:rPr>
          <w:rtl w:val="0"/>
        </w:rPr>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Nunito" w:cs="Nunito" w:eastAsia="Nunito" w:hAnsi="Nunito"/>
        </w:rPr>
      </w:pPr>
      <w:r w:rsidDel="00000000" w:rsidR="00000000" w:rsidRPr="00000000">
        <w:rPr>
          <w:rtl w:val="0"/>
        </w:rPr>
      </w:r>
    </w:p>
    <w:p w:rsidR="00000000" w:rsidDel="00000000" w:rsidP="00000000" w:rsidRDefault="00000000" w:rsidRPr="00000000" w14:paraId="00000024">
      <w:pPr>
        <w:pStyle w:val="Heading2"/>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Nunito" w:cs="Nunito" w:eastAsia="Nunito" w:hAnsi="Nunito"/>
        </w:rPr>
      </w:pPr>
      <w:bookmarkStart w:colFirst="0" w:colLast="0" w:name="_heading=h.kw9434226b3" w:id="8"/>
      <w:bookmarkEnd w:id="8"/>
      <w:r w:rsidDel="00000000" w:rsidR="00000000" w:rsidRPr="00000000">
        <w:rPr>
          <w:rFonts w:ascii="Nunito" w:cs="Nunito" w:eastAsia="Nunito" w:hAnsi="Nunito"/>
          <w:rtl w:val="0"/>
        </w:rPr>
        <w:t xml:space="preserve">Practicum Learning Plan</w:t>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Nunito" w:cs="Nunito" w:eastAsia="Nunito" w:hAnsi="Nunito"/>
        </w:rPr>
      </w:pPr>
      <w:r w:rsidDel="00000000" w:rsidR="00000000" w:rsidRPr="00000000">
        <w:rPr>
          <w:rFonts w:ascii="Nunito" w:cs="Nunito" w:eastAsia="Nunito" w:hAnsi="Nunito"/>
          <w:sz w:val="24"/>
          <w:szCs w:val="24"/>
          <w:rtl w:val="0"/>
        </w:rPr>
        <w:t xml:space="preserve">Each student will prepare a learning plan in consultation with their preceptor and course faculty. The learning plan is used by the student, preceptor and course faculty to clearly articulate the students’ learning goals, project activities, socialization methods and expected outcomes to be achieved throughout the practicum and upon completion of the course. A template is provided.</w:t>
      </w:r>
      <w:r w:rsidDel="00000000" w:rsidR="00000000" w:rsidRPr="00000000">
        <w:rPr>
          <w:rtl w:val="0"/>
        </w:rPr>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Nunito" w:cs="Nunito" w:eastAsia="Nunito" w:hAnsi="Nunito"/>
        </w:rPr>
      </w:pPr>
      <w:r w:rsidDel="00000000" w:rsidR="00000000" w:rsidRPr="00000000">
        <w:rPr>
          <w:rtl w:val="0"/>
        </w:rPr>
      </w:r>
    </w:p>
    <w:p w:rsidR="00000000" w:rsidDel="00000000" w:rsidP="00000000" w:rsidRDefault="00000000" w:rsidRPr="00000000" w14:paraId="00000027">
      <w:pPr>
        <w:pStyle w:val="Heading2"/>
        <w:widowControl w:val="0"/>
        <w:rPr>
          <w:rFonts w:ascii="Nunito" w:cs="Nunito" w:eastAsia="Nunito" w:hAnsi="Nunito"/>
        </w:rPr>
      </w:pPr>
      <w:bookmarkStart w:colFirst="0" w:colLast="0" w:name="_heading=h.ti3z1b5y3ffr" w:id="9"/>
      <w:bookmarkEnd w:id="9"/>
      <w:r w:rsidDel="00000000" w:rsidR="00000000" w:rsidRPr="00000000">
        <w:rPr>
          <w:rFonts w:ascii="Nunito" w:cs="Nunito" w:eastAsia="Nunito" w:hAnsi="Nunito"/>
          <w:rtl w:val="0"/>
        </w:rPr>
        <w:t xml:space="preserve">Preceptor Evaluation</w:t>
        <w:tab/>
        <w:tab/>
      </w:r>
    </w:p>
    <w:p w:rsidR="00000000" w:rsidDel="00000000" w:rsidP="00000000" w:rsidRDefault="00000000" w:rsidRPr="00000000" w14:paraId="00000028">
      <w:pPr>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preceptor is requested to provide feedback to the student and course faculty addressing student’s performance and accomplishments. The student should request this feedback informally at least weekly throughout the term, and formally, using verbal feedback at mid-term (by Week 6); and using both written and verbal feedback, at the end of term. A request for formal evaluation may be initiated at mid-point in the semester, if the student, preceptor, or course professor are concerned about the student’s progress. The preceptor may complete the evaluation form and/or a letter describing the student’s performance according to the course objectives, strengths, areas for development, and accomplishments.  </w:t>
      </w:r>
    </w:p>
    <w:p w:rsidR="00000000" w:rsidDel="00000000" w:rsidP="00000000" w:rsidRDefault="00000000" w:rsidRPr="00000000" w14:paraId="00000029">
      <w:pP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2A">
      <w:pP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2B">
      <w:pPr>
        <w:pStyle w:val="Heading1"/>
        <w:rPr>
          <w:rFonts w:ascii="Nunito" w:cs="Nunito" w:eastAsia="Nunito" w:hAnsi="Nunito"/>
        </w:rPr>
      </w:pPr>
      <w:bookmarkStart w:colFirst="0" w:colLast="0" w:name="_heading=h.wb9bdb892jg2" w:id="10"/>
      <w:bookmarkEnd w:id="10"/>
      <w:r w:rsidDel="00000000" w:rsidR="00000000" w:rsidRPr="00000000">
        <w:rPr>
          <w:rFonts w:ascii="Nunito" w:cs="Nunito" w:eastAsia="Nunito" w:hAnsi="Nunito"/>
          <w:rtl w:val="0"/>
        </w:rPr>
        <w:t xml:space="preserve">EXPECTATIONS OF STUDENTS:</w:t>
      </w:r>
    </w:p>
    <w:p w:rsidR="00000000" w:rsidDel="00000000" w:rsidP="00000000" w:rsidRDefault="00000000" w:rsidRPr="00000000" w14:paraId="0000002C">
      <w:pPr>
        <w:rPr>
          <w:rFonts w:ascii="Nunito" w:cs="Nunito" w:eastAsia="Nunito" w:hAnsi="Nunito"/>
        </w:rPr>
      </w:pPr>
      <w:r w:rsidDel="00000000" w:rsidR="00000000" w:rsidRPr="00000000">
        <w:rPr>
          <w:rFonts w:ascii="Nunito" w:cs="Nunito" w:eastAsia="Nunito" w:hAnsi="Nunito"/>
          <w:sz w:val="24"/>
          <w:szCs w:val="24"/>
          <w:rtl w:val="0"/>
        </w:rPr>
        <w:t xml:space="preserve">Students are expected to attend all practicum related activities and other course events planned in advance and defined in the course syllabus. Students are responsible for all course content. This content includes material covered in the practicum placement, required readings, guest speakers’ presentations, videos, films and seminar/group discussions.</w:t>
      </w:r>
      <w:r w:rsidDel="00000000" w:rsidR="00000000" w:rsidRPr="00000000">
        <w:rPr>
          <w:rtl w:val="0"/>
        </w:rPr>
      </w:r>
    </w:p>
    <w:p w:rsidR="00000000" w:rsidDel="00000000" w:rsidP="00000000" w:rsidRDefault="00000000" w:rsidRPr="00000000" w14:paraId="0000002D">
      <w:pPr>
        <w:rPr>
          <w:rFonts w:ascii="Nunito" w:cs="Nunito" w:eastAsia="Nunito" w:hAnsi="Nunito"/>
        </w:rPr>
      </w:pPr>
      <w:r w:rsidDel="00000000" w:rsidR="00000000" w:rsidRPr="00000000">
        <w:rPr>
          <w:rtl w:val="0"/>
        </w:rPr>
      </w:r>
    </w:p>
    <w:p w:rsidR="00000000" w:rsidDel="00000000" w:rsidP="00000000" w:rsidRDefault="00000000" w:rsidRPr="00000000" w14:paraId="0000002E">
      <w:pPr>
        <w:ind w:left="-48"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Students are required to adhere to all relevant University, Graduate Studies, and Daphne Cockwell School of Nursing policies, such as academic performance (e.g., academic misconduct, submission of late assignments, grading grid, etc.). Please refer to the </w:t>
      </w:r>
      <w:r w:rsidDel="00000000" w:rsidR="00000000" w:rsidRPr="00000000">
        <w:rPr>
          <w:rFonts w:ascii="Nunito" w:cs="Nunito" w:eastAsia="Nunito" w:hAnsi="Nunito"/>
          <w:i w:val="1"/>
          <w:sz w:val="24"/>
          <w:szCs w:val="24"/>
          <w:rtl w:val="0"/>
        </w:rPr>
        <w:t xml:space="preserve">University Calendar</w:t>
      </w:r>
      <w:r w:rsidDel="00000000" w:rsidR="00000000" w:rsidRPr="00000000">
        <w:rPr>
          <w:rFonts w:ascii="Nunito" w:cs="Nunito" w:eastAsia="Nunito" w:hAnsi="Nunito"/>
          <w:sz w:val="24"/>
          <w:szCs w:val="24"/>
          <w:rtl w:val="0"/>
        </w:rPr>
        <w:t xml:space="preserve"> and to the </w:t>
      </w:r>
      <w:r w:rsidDel="00000000" w:rsidR="00000000" w:rsidRPr="00000000">
        <w:rPr>
          <w:rFonts w:ascii="Nunito" w:cs="Nunito" w:eastAsia="Nunito" w:hAnsi="Nunito"/>
          <w:i w:val="1"/>
          <w:sz w:val="24"/>
          <w:szCs w:val="24"/>
          <w:rtl w:val="0"/>
        </w:rPr>
        <w:t xml:space="preserve">Master of Nursing Program Student Handbook</w:t>
      </w:r>
      <w:r w:rsidDel="00000000" w:rsidR="00000000" w:rsidRPr="00000000">
        <w:rPr>
          <w:rFonts w:ascii="Nunito" w:cs="Nunito" w:eastAsia="Nunito" w:hAnsi="Nunito"/>
          <w:sz w:val="24"/>
          <w:szCs w:val="24"/>
          <w:rtl w:val="0"/>
        </w:rPr>
        <w:t xml:space="preserve"> for detailed information.  All Senate policies can be found at </w:t>
      </w:r>
      <w:hyperlink r:id="rId8">
        <w:r w:rsidDel="00000000" w:rsidR="00000000" w:rsidRPr="00000000">
          <w:rPr>
            <w:rFonts w:ascii="Nunito" w:cs="Nunito" w:eastAsia="Nunito" w:hAnsi="Nunito"/>
            <w:color w:val="1155cc"/>
            <w:sz w:val="24"/>
            <w:szCs w:val="24"/>
            <w:highlight w:val="white"/>
            <w:u w:val="single"/>
            <w:rtl w:val="0"/>
          </w:rPr>
          <w:t xml:space="preserve">https://www.torontomu.ca/senate/policies/</w:t>
        </w:r>
      </w:hyperlink>
      <w:r w:rsidDel="00000000" w:rsidR="00000000" w:rsidRPr="00000000">
        <w:rPr>
          <w:rFonts w:ascii="Nunito" w:cs="Nunito" w:eastAsia="Nunito" w:hAnsi="Nunito"/>
          <w:sz w:val="24"/>
          <w:szCs w:val="24"/>
          <w:highlight w:val="white"/>
          <w:rtl w:val="0"/>
        </w:rPr>
        <w:t xml:space="preserve"> </w:t>
      </w:r>
      <w:r w:rsidDel="00000000" w:rsidR="00000000" w:rsidRPr="00000000">
        <w:rPr>
          <w:rtl w:val="0"/>
        </w:rPr>
      </w:r>
    </w:p>
    <w:p w:rsidR="00000000" w:rsidDel="00000000" w:rsidP="00000000" w:rsidRDefault="00000000" w:rsidRPr="00000000" w14:paraId="0000002F">
      <w:pPr>
        <w:ind w:left="-48"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0">
      <w:pPr>
        <w:ind w:left="-48"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All Toronto Metropolitan University Yeates School of Graduate Studies (YSGS) policies can be found at </w:t>
      </w:r>
      <w:hyperlink r:id="rId9">
        <w:r w:rsidDel="00000000" w:rsidR="00000000" w:rsidRPr="00000000">
          <w:rPr>
            <w:rFonts w:ascii="Nunito" w:cs="Nunito" w:eastAsia="Nunito" w:hAnsi="Nunito"/>
            <w:color w:val="1155cc"/>
            <w:sz w:val="24"/>
            <w:szCs w:val="24"/>
            <w:u w:val="single"/>
            <w:rtl w:val="0"/>
          </w:rPr>
          <w:t xml:space="preserve">https://www.torontomu.ca/graduate/calendar/policies-and-procedures/</w:t>
        </w:r>
      </w:hyperlink>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31">
      <w:pPr>
        <w:widowControl w:val="0"/>
        <w:tabs>
          <w:tab w:val="left" w:leader="none" w:pos="-720"/>
          <w:tab w:val="left" w:leader="none" w:pos="-33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7920"/>
        </w:tabs>
        <w:ind w:left="270" w:hanging="270"/>
        <w:rPr>
          <w:rFonts w:ascii="Nunito" w:cs="Nunito" w:eastAsia="Nunito" w:hAnsi="Nunito"/>
        </w:rPr>
      </w:pPr>
      <w:r w:rsidDel="00000000" w:rsidR="00000000" w:rsidRPr="00000000">
        <w:rPr>
          <w:rtl w:val="0"/>
        </w:rPr>
      </w:r>
    </w:p>
    <w:p w:rsidR="00000000" w:rsidDel="00000000" w:rsidP="00000000" w:rsidRDefault="00000000" w:rsidRPr="00000000" w14:paraId="00000032">
      <w:pPr>
        <w:widowControl w:val="0"/>
        <w:tabs>
          <w:tab w:val="left" w:leader="none" w:pos="-720"/>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792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Graduate MN students must be registered nurses; therefore, non-academic misconduct includes policies pertaining to professional misconduct. In accordance with the professional misconduct regulation (Ontario Regulation 799/93) under the Nursing Act, 1991, it is an act of professional misconduct to fail to report an incident of unethical conduct of a healthcare provider. Faculty and students who are registered with College of Nurses of Ontario are required to abide by this legislation. Verbal or written information that is deemed to be an act of professional misconduct disclosed by a member of the College of Nurses of Ontario while a student in a nursing course/program will be reported (see </w:t>
      </w:r>
      <w:r w:rsidDel="00000000" w:rsidR="00000000" w:rsidRPr="00000000">
        <w:rPr>
          <w:rFonts w:ascii="Nunito" w:cs="Nunito" w:eastAsia="Nunito" w:hAnsi="Nunito"/>
          <w:i w:val="1"/>
          <w:sz w:val="24"/>
          <w:szCs w:val="24"/>
          <w:rtl w:val="0"/>
        </w:rPr>
        <w:t xml:space="preserve">Master of Nursing Program Student Handbook</w:t>
      </w:r>
      <w:r w:rsidDel="00000000" w:rsidR="00000000" w:rsidRPr="00000000">
        <w:rPr>
          <w:rFonts w:ascii="Nunito" w:cs="Nunito" w:eastAsia="Nunito" w:hAnsi="Nunito"/>
          <w:sz w:val="24"/>
          <w:szCs w:val="24"/>
          <w:rtl w:val="0"/>
        </w:rPr>
        <w:t xml:space="preserve"> for detailed policy).  </w:t>
      </w:r>
    </w:p>
    <w:p w:rsidR="00000000" w:rsidDel="00000000" w:rsidP="00000000" w:rsidRDefault="00000000" w:rsidRPr="00000000" w14:paraId="00000033">
      <w:pPr>
        <w:widowControl w:val="0"/>
        <w:tabs>
          <w:tab w:val="left" w:leader="none" w:pos="-720"/>
          <w:tab w:val="left" w:leader="none" w:pos="-288"/>
          <w:tab w:val="left" w:leader="none" w:pos="426"/>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7920"/>
        </w:tabs>
        <w:rPr>
          <w:rFonts w:ascii="Nunito" w:cs="Nunito" w:eastAsia="Nunito" w:hAnsi="Nunito"/>
        </w:rPr>
      </w:pPr>
      <w:r w:rsidDel="00000000" w:rsidR="00000000" w:rsidRPr="00000000">
        <w:rPr>
          <w:rtl w:val="0"/>
        </w:rPr>
      </w:r>
    </w:p>
    <w:p w:rsidR="00000000" w:rsidDel="00000000" w:rsidP="00000000" w:rsidRDefault="00000000" w:rsidRPr="00000000" w14:paraId="00000034">
      <w:pPr>
        <w:widowControl w:val="0"/>
        <w:tabs>
          <w:tab w:val="left" w:leader="none" w:pos="-720"/>
          <w:tab w:val="left" w:leader="none" w:pos="-288"/>
          <w:tab w:val="left" w:leader="none" w:pos="426"/>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7920"/>
        </w:tabs>
        <w:rPr>
          <w:rFonts w:ascii="Nunito" w:cs="Nunito" w:eastAsia="Nunito" w:hAnsi="Nunito"/>
        </w:rPr>
      </w:pPr>
      <w:r w:rsidDel="00000000" w:rsidR="00000000" w:rsidRPr="00000000">
        <w:rPr>
          <w:rtl w:val="0"/>
        </w:rPr>
      </w:r>
    </w:p>
    <w:p w:rsidR="00000000" w:rsidDel="00000000" w:rsidP="00000000" w:rsidRDefault="00000000" w:rsidRPr="00000000" w14:paraId="00000035">
      <w:pPr>
        <w:pStyle w:val="Heading2"/>
        <w:widowControl w:val="0"/>
        <w:tabs>
          <w:tab w:val="left" w:leader="none" w:pos="-720"/>
          <w:tab w:val="left" w:leader="none" w:pos="-288"/>
          <w:tab w:val="left" w:leader="none" w:pos="426"/>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7920"/>
        </w:tabs>
        <w:rPr>
          <w:rFonts w:ascii="Nunito" w:cs="Nunito" w:eastAsia="Nunito" w:hAnsi="Nunito"/>
        </w:rPr>
      </w:pPr>
      <w:bookmarkStart w:colFirst="0" w:colLast="0" w:name="_heading=h.mh6u2dmf8hc5" w:id="11"/>
      <w:bookmarkEnd w:id="11"/>
      <w:r w:rsidDel="00000000" w:rsidR="00000000" w:rsidRPr="00000000">
        <w:rPr>
          <w:rFonts w:ascii="Nunito" w:cs="Nunito" w:eastAsia="Nunito" w:hAnsi="Nunito"/>
          <w:rtl w:val="0"/>
        </w:rPr>
        <w:t xml:space="preserve">Use of Electronic Equipment during Practicum</w:t>
      </w:r>
    </w:p>
    <w:p w:rsidR="00000000" w:rsidDel="00000000" w:rsidP="00000000" w:rsidRDefault="00000000" w:rsidRPr="00000000" w14:paraId="00000036">
      <w:pPr>
        <w:widowControl w:val="0"/>
        <w:tabs>
          <w:tab w:val="left" w:leader="none" w:pos="-720"/>
          <w:tab w:val="left" w:leader="none" w:pos="-288"/>
          <w:tab w:val="left" w:leader="none" w:pos="426"/>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7920"/>
        </w:tabs>
        <w:rPr>
          <w:rFonts w:ascii="Nunito" w:cs="Nunito" w:eastAsia="Nunito" w:hAnsi="Nunito"/>
        </w:rPr>
      </w:pPr>
      <w:r w:rsidDel="00000000" w:rsidR="00000000" w:rsidRPr="00000000">
        <w:rPr>
          <w:rFonts w:ascii="Nunito" w:cs="Nunito" w:eastAsia="Nunito" w:hAnsi="Nunito"/>
          <w:sz w:val="24"/>
          <w:szCs w:val="24"/>
          <w:rtl w:val="0"/>
        </w:rPr>
        <w:t xml:space="preserve">Laptops, tablets, and cellphones should be used during practicum activities according to the policy of the practicum site. It is the student’s responsibility to identify and follow acceptable practices. </w:t>
      </w:r>
      <w:r w:rsidDel="00000000" w:rsidR="00000000" w:rsidRPr="00000000">
        <w:rPr>
          <w:rtl w:val="0"/>
        </w:rPr>
      </w:r>
    </w:p>
    <w:p w:rsidR="00000000" w:rsidDel="00000000" w:rsidP="00000000" w:rsidRDefault="00000000" w:rsidRPr="00000000" w14:paraId="00000037">
      <w:pPr>
        <w:jc w:val="both"/>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38">
      <w:pPr>
        <w:pStyle w:val="Heading2"/>
        <w:shd w:fill="ffffff" w:val="clear"/>
        <w:rPr>
          <w:rFonts w:ascii="Nunito" w:cs="Nunito" w:eastAsia="Nunito" w:hAnsi="Nunito"/>
        </w:rPr>
      </w:pPr>
      <w:bookmarkStart w:colFirst="0" w:colLast="0" w:name="_heading=h.8edp9q30sb62" w:id="12"/>
      <w:bookmarkEnd w:id="12"/>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Other Significant Information</w:t>
      </w:r>
    </w:p>
    <w:p w:rsidR="00000000" w:rsidDel="00000000" w:rsidP="00000000" w:rsidRDefault="00000000" w:rsidRPr="00000000" w14:paraId="00000039">
      <w:pPr>
        <w:shd w:fill="ffffff" w:val="clear"/>
        <w:rPr>
          <w:rFonts w:ascii="Nunito" w:cs="Nunito" w:eastAsia="Nunito" w:hAnsi="Nunito"/>
          <w:sz w:val="22"/>
          <w:szCs w:val="22"/>
        </w:rPr>
      </w:pPr>
      <w:r w:rsidDel="00000000" w:rsidR="00000000" w:rsidRPr="00000000">
        <w:rPr>
          <w:rFonts w:ascii="Nunito" w:cs="Nunito" w:eastAsia="Nunito" w:hAnsi="Nunito"/>
          <w:sz w:val="24"/>
          <w:szCs w:val="24"/>
          <w:rtl w:val="0"/>
        </w:rPr>
        <w:t xml:space="preserve">If students are engaged in research activities as a component of their MN 8905 practicum that involves</w:t>
      </w:r>
      <w:r w:rsidDel="00000000" w:rsidR="00000000" w:rsidRPr="00000000">
        <w:rPr>
          <w:rFonts w:ascii="Nunito" w:cs="Nunito" w:eastAsia="Nunito" w:hAnsi="Nunito"/>
          <w:sz w:val="24"/>
          <w:szCs w:val="24"/>
          <w:rtl w:val="0"/>
        </w:rPr>
        <w:t xml:space="preserve"> research with human subjects/participants, the guidelines of the Research Ethics Board (REB) concerning undergraduate students as researchers must be clearly referenced.</w:t>
      </w:r>
      <w:r w:rsidDel="00000000" w:rsidR="00000000" w:rsidRPr="00000000">
        <w:rPr>
          <w:rtl w:val="0"/>
        </w:rPr>
      </w:r>
    </w:p>
    <w:sectPr>
      <w:headerReference r:id="rId10" w:type="default"/>
      <w:footerReference r:id="rId11" w:type="default"/>
      <w:pgSz w:h="15840" w:w="12240" w:orient="portrait"/>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widowControl w:val="0"/>
      <w:tabs>
        <w:tab w:val="center" w:leader="none" w:pos="4320"/>
        <w:tab w:val="right" w:leader="none" w:pos="864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widowControl w:val="0"/>
      <w:tabs>
        <w:tab w:val="center" w:leader="none" w:pos="4320"/>
        <w:tab w:val="right" w:leader="none" w:pos="8640"/>
      </w:tabs>
      <w:spacing w:after="720" w:lineRule="auto"/>
      <w:ind w:right="36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Nunito" w:cs="Nunito" w:eastAsia="Nunito" w:hAnsi="Nunito"/>
      </w:rPr>
    </w:pPr>
    <w:r w:rsidDel="00000000" w:rsidR="00000000" w:rsidRPr="00000000">
      <w:rPr>
        <w:rFonts w:ascii="Nunito" w:cs="Nunito" w:eastAsia="Nunito" w:hAnsi="Nunito"/>
        <w:color w:val="000000"/>
        <w:rtl w:val="0"/>
      </w:rPr>
      <w:tab/>
      <w:tab/>
      <w:t xml:space="preserve">MN8905 Course Objectives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
      <w:jc w:val="both"/>
    </w:pPr>
    <w:rPr>
      <w:b w:val="1"/>
      <w:sz w:val="24"/>
      <w:szCs w:val="24"/>
    </w:rPr>
  </w:style>
  <w:style w:type="paragraph" w:styleId="Heading3">
    <w:name w:val="heading 3"/>
    <w:basedOn w:val="Normal"/>
    <w:next w:val="Normal"/>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pPr>
    <w:rPr>
      <w:b w:val="1"/>
      <w:sz w:val="24"/>
      <w:szCs w:val="24"/>
    </w:rPr>
  </w:style>
  <w:style w:type="paragraph" w:styleId="Heading4">
    <w:name w:val="heading 4"/>
    <w:basedOn w:val="Normal"/>
    <w:next w:val="Normal"/>
    <w:pPr>
      <w:keepNext w:val="1"/>
      <w:keepLines w:val="1"/>
    </w:pPr>
    <w:rPr>
      <w:b w:val="1"/>
      <w:sz w:val="24"/>
      <w:szCs w:val="24"/>
    </w:rPr>
  </w:style>
  <w:style w:type="paragraph" w:styleId="Heading5">
    <w:name w:val="heading 5"/>
    <w:basedOn w:val="Normal"/>
    <w:next w:val="Normal"/>
    <w:pPr>
      <w:keepNext w:val="1"/>
      <w:keepLines w:val="1"/>
      <w:tabs>
        <w:tab w:val="center" w:leader="none" w:pos="4680"/>
      </w:tabs>
      <w:jc w:val="right"/>
    </w:pPr>
    <w:rPr>
      <w:b w:val="1"/>
      <w:sz w:val="24"/>
      <w:szCs w:val="24"/>
      <w:u w:val="single"/>
    </w:rPr>
  </w:style>
  <w:style w:type="paragraph" w:styleId="Heading6">
    <w:name w:val="heading 6"/>
    <w:basedOn w:val="Normal"/>
    <w:next w:val="Normal"/>
    <w:pPr>
      <w:keepNext w:val="1"/>
      <w:keepLines w:val="1"/>
    </w:pPr>
    <w:rPr>
      <w:sz w:val="24"/>
      <w:szCs w:val="24"/>
    </w:rPr>
  </w:style>
  <w:style w:type="paragraph" w:styleId="Title">
    <w:name w:val="Title"/>
    <w:basedOn w:val="Normal"/>
    <w:next w:val="Normal"/>
    <w:pPr>
      <w:keepNext w:val="1"/>
      <w:keepLines w:val="1"/>
      <w:jc w:val="center"/>
    </w:pPr>
    <w:rPr>
      <w:b w:val="1"/>
      <w:sz w:val="28"/>
      <w:szCs w:val="2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rPr>
      <w:color w:val="000000"/>
    </w:rPr>
    <w:tblPr>
      <w:tblStyleRowBandSize w:val="1"/>
      <w:tblStyleColBandSize w:val="1"/>
      <w:tblCellMar>
        <w:left w:w="115.0" w:type="dxa"/>
        <w:right w:w="115.0" w:type="dxa"/>
      </w:tblCellMar>
    </w:tblPr>
  </w:style>
  <w:style w:type="table" w:styleId="a2" w:customStyle="1">
    <w:basedOn w:val="TableNormal"/>
    <w:rPr>
      <w:color w:val="000000"/>
    </w:rPr>
    <w:tblPr>
      <w:tblStyleRowBandSize w:val="1"/>
      <w:tblStyleColBandSize w:val="1"/>
      <w:tblCellMar>
        <w:left w:w="115.0" w:type="dxa"/>
        <w:right w:w="115.0" w:type="dxa"/>
      </w:tblCellMar>
    </w:tblPr>
  </w:style>
  <w:style w:type="table" w:styleId="a3" w:customStyle="1">
    <w:basedOn w:val="TableNormal"/>
    <w:rPr>
      <w:color w:val="000000"/>
    </w:rPr>
    <w:tblPr>
      <w:tblStyleRowBandSize w:val="1"/>
      <w:tblStyleColBandSize w:val="1"/>
      <w:tblCellMar>
        <w:left w:w="115.0" w:type="dxa"/>
        <w:right w:w="115.0" w:type="dxa"/>
      </w:tblCellMar>
    </w:tblPr>
  </w:style>
  <w:style w:type="table" w:styleId="a4" w:customStyle="1">
    <w:basedOn w:val="TableNormal"/>
    <w:rPr>
      <w:color w:val="000000"/>
    </w:rPr>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rPr>
      <w:color w:val="000000"/>
    </w:rPr>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C12AC0"/>
    <w:rPr>
      <w:color w:val="0000ff" w:themeColor="hyperlink"/>
      <w:u w:val="single"/>
    </w:rPr>
  </w:style>
  <w:style w:type="character" w:styleId="CommentReference">
    <w:name w:val="annotation reference"/>
    <w:basedOn w:val="DefaultParagraphFont"/>
    <w:uiPriority w:val="99"/>
    <w:semiHidden w:val="1"/>
    <w:unhideWhenUsed w:val="1"/>
    <w:rsid w:val="00621E9D"/>
    <w:rPr>
      <w:sz w:val="16"/>
      <w:szCs w:val="16"/>
    </w:rPr>
  </w:style>
  <w:style w:type="paragraph" w:styleId="CommentText">
    <w:name w:val="annotation text"/>
    <w:basedOn w:val="Normal"/>
    <w:link w:val="CommentTextChar"/>
    <w:uiPriority w:val="99"/>
    <w:unhideWhenUsed w:val="1"/>
    <w:rsid w:val="00621E9D"/>
  </w:style>
  <w:style w:type="character" w:styleId="CommentTextChar" w:customStyle="1">
    <w:name w:val="Comment Text Char"/>
    <w:basedOn w:val="DefaultParagraphFont"/>
    <w:link w:val="CommentText"/>
    <w:uiPriority w:val="99"/>
    <w:rsid w:val="00621E9D"/>
  </w:style>
  <w:style w:type="paragraph" w:styleId="CommentSubject">
    <w:name w:val="annotation subject"/>
    <w:basedOn w:val="CommentText"/>
    <w:next w:val="CommentText"/>
    <w:link w:val="CommentSubjectChar"/>
    <w:uiPriority w:val="99"/>
    <w:semiHidden w:val="1"/>
    <w:unhideWhenUsed w:val="1"/>
    <w:rsid w:val="00621E9D"/>
    <w:rPr>
      <w:b w:val="1"/>
      <w:bCs w:val="1"/>
    </w:rPr>
  </w:style>
  <w:style w:type="character" w:styleId="CommentSubjectChar" w:customStyle="1">
    <w:name w:val="Comment Subject Char"/>
    <w:basedOn w:val="CommentTextChar"/>
    <w:link w:val="CommentSubject"/>
    <w:uiPriority w:val="99"/>
    <w:semiHidden w:val="1"/>
    <w:rsid w:val="00621E9D"/>
    <w:rPr>
      <w:b w:val="1"/>
      <w:bCs w:val="1"/>
    </w:rPr>
  </w:style>
  <w:style w:type="paragraph" w:styleId="BalloonText">
    <w:name w:val="Balloon Text"/>
    <w:basedOn w:val="Normal"/>
    <w:link w:val="BalloonTextChar"/>
    <w:uiPriority w:val="99"/>
    <w:semiHidden w:val="1"/>
    <w:unhideWhenUsed w:val="1"/>
    <w:rsid w:val="00621E9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21E9D"/>
    <w:rPr>
      <w:rFonts w:ascii="Segoe UI" w:cs="Segoe UI" w:hAnsi="Segoe UI"/>
      <w:sz w:val="18"/>
      <w:szCs w:val="18"/>
    </w:rPr>
  </w:style>
  <w:style w:type="paragraph" w:styleId="ListParagraph">
    <w:name w:val="List Paragraph"/>
    <w:basedOn w:val="Normal"/>
    <w:uiPriority w:val="34"/>
    <w:qFormat w:val="1"/>
    <w:rsid w:val="006704EE"/>
    <w:pPr>
      <w:ind w:left="720"/>
      <w:contextualSpacing w:val="1"/>
    </w:pPr>
  </w:style>
  <w:style w:type="character" w:styleId="FollowedHyperlink">
    <w:name w:val="FollowedHyperlink"/>
    <w:basedOn w:val="DefaultParagraphFont"/>
    <w:uiPriority w:val="99"/>
    <w:semiHidden w:val="1"/>
    <w:unhideWhenUsed w:val="1"/>
    <w:rsid w:val="00F9570D"/>
    <w:rPr>
      <w:color w:val="800080" w:themeColor="followedHyperlink"/>
      <w:u w:val="single"/>
    </w:rPr>
  </w:style>
  <w:style w:type="paragraph" w:styleId="Header">
    <w:name w:val="header"/>
    <w:basedOn w:val="Normal"/>
    <w:link w:val="HeaderChar"/>
    <w:uiPriority w:val="99"/>
    <w:unhideWhenUsed w:val="1"/>
    <w:rsid w:val="00D67F70"/>
    <w:pPr>
      <w:tabs>
        <w:tab w:val="center" w:pos="4680"/>
        <w:tab w:val="right" w:pos="9360"/>
      </w:tabs>
    </w:pPr>
  </w:style>
  <w:style w:type="character" w:styleId="HeaderChar" w:customStyle="1">
    <w:name w:val="Header Char"/>
    <w:basedOn w:val="DefaultParagraphFont"/>
    <w:link w:val="Header"/>
    <w:uiPriority w:val="99"/>
    <w:rsid w:val="00D67F70"/>
  </w:style>
  <w:style w:type="paragraph" w:styleId="Footer">
    <w:name w:val="footer"/>
    <w:basedOn w:val="Normal"/>
    <w:link w:val="FooterChar"/>
    <w:uiPriority w:val="99"/>
    <w:unhideWhenUsed w:val="1"/>
    <w:rsid w:val="00D67F70"/>
    <w:pPr>
      <w:tabs>
        <w:tab w:val="center" w:pos="4680"/>
        <w:tab w:val="right" w:pos="9360"/>
      </w:tabs>
    </w:pPr>
  </w:style>
  <w:style w:type="character" w:styleId="FooterChar" w:customStyle="1">
    <w:name w:val="Footer Char"/>
    <w:basedOn w:val="DefaultParagraphFont"/>
    <w:link w:val="Footer"/>
    <w:uiPriority w:val="99"/>
    <w:rsid w:val="00D67F70"/>
  </w:style>
  <w:style w:type="character" w:styleId="UnresolvedMention">
    <w:name w:val="Unresolved Mention"/>
    <w:basedOn w:val="DefaultParagraphFont"/>
    <w:uiPriority w:val="99"/>
    <w:semiHidden w:val="1"/>
    <w:unhideWhenUsed w:val="1"/>
    <w:rsid w:val="00EA1B00"/>
    <w:rPr>
      <w:color w:val="605e5c"/>
      <w:shd w:color="auto" w:fill="e1dfdd" w:val="clear"/>
    </w:rPr>
  </w:style>
  <w:style w:type="paragraph" w:styleId="NormalWeb">
    <w:name w:val="Normal (Web)"/>
    <w:basedOn w:val="Normal"/>
    <w:uiPriority w:val="99"/>
    <w:semiHidden w:val="1"/>
    <w:unhideWhenUsed w:val="1"/>
    <w:rsid w:val="008B0D2C"/>
    <w:pPr>
      <w:spacing w:after="100" w:afterAutospacing="1" w:before="100" w:beforeAutospacing="1" w:line="259" w:lineRule="auto"/>
    </w:pPr>
    <w:rPr>
      <w:rFonts w:ascii="Calibri" w:eastAsia="Calibri" w:hAnsi="Calibri"/>
      <w:sz w:val="24"/>
      <w:szCs w:val="24"/>
      <w:lang w:val="en-CA"/>
    </w:rPr>
  </w:style>
  <w:style w:type="character" w:styleId="Emphasis">
    <w:name w:val="Emphasis"/>
    <w:basedOn w:val="DefaultParagraphFont"/>
    <w:uiPriority w:val="20"/>
    <w:qFormat w:val="1"/>
    <w:rsid w:val="008B0D2C"/>
    <w:rPr>
      <w:i w:val="1"/>
      <w:iCs w:val="1"/>
    </w:rPr>
  </w:style>
  <w:style w:type="table" w:styleId="TableGrid">
    <w:name w:val="Table Grid"/>
    <w:basedOn w:val="TableNormal"/>
    <w:uiPriority w:val="39"/>
    <w:rsid w:val="00673BDE"/>
    <w:rPr>
      <w:rFonts w:asciiTheme="minorHAnsi" w:cstheme="minorBidi" w:eastAsiaTheme="minorHAnsi" w:hAnsiTheme="minorHAnsi"/>
      <w:sz w:val="22"/>
      <w:szCs w:val="22"/>
      <w:lang w:val="en-C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e"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0"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1"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2"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3"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4"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5"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6"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af7" w:customStyle="1">
    <w:basedOn w:val="TableNormal"/>
    <w:rPr>
      <w:rFonts w:ascii="Cambria" w:cs="Cambria" w:eastAsia="Cambria" w:hAnsi="Cambria"/>
      <w:color w:val="000000"/>
      <w:sz w:val="22"/>
      <w:szCs w:val="22"/>
    </w:rPr>
    <w:tblPr>
      <w:tblStyleRowBandSize w:val="1"/>
      <w:tblStyleColBandSize w:val="1"/>
      <w:tblCellMar>
        <w:left w:w="115.0" w:type="dxa"/>
        <w:right w:w="115.0" w:type="dxa"/>
      </w:tblCellMar>
    </w:tblPr>
  </w:style>
  <w:style w:type="table" w:styleId="Table1">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2">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3">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2">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13">
    <w:basedOn w:val="TableNormal"/>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orontomu.ca/graduate/calendar/policies-and-procedur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torontomu.ca/senate/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0uPQ0i6FeoiPh3rcFs5OnqsTg==">CgMxLjAyDmguMzYxbnRhcGhydDFxMg5oLnJ5NHdiYnI2em1jOTIOaC5iYWh2aDZpeHY3dmYyDmguNm1rbTcxa3dzMHd0MghoLmdqZGd4czIOaC5kcDBmdzI0enJhbzAyDmguaGhrOTVsdWYxbDhuMg5oLnA2YTF4NjFndW13dzINaC5rdzk0MzQyMjZiMzIOaC50aTN6MWI1eTNmZnIyDmgud2I5YmRiODkyamcyMg5oLm1oNnUyZG1mOGhjNTIOaC44ZWRwOXEzMHNiNjI4AHIhMWxBbjBXbnJaVjRUaDFYVG5KQi12TXl1MkNiV0FUT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2022-08-19T11:57:00Z</dcterms:created>
  <dc:creator>Lori Schindel Martin</dc:creator>
</cp:coreProperties>
</file>