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E0" w:rsidRDefault="009A7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To:      New and Returning Students, </w:t>
      </w:r>
    </w:p>
    <w:p w:rsidR="000C6BE0" w:rsidRDefault="009A7AA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Fall 2024-Winter 2025 Course Intentions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C6BE0" w:rsidRDefault="009A7AA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FROM: Paris Master-McRae </w:t>
      </w:r>
    </w:p>
    <w:p w:rsidR="000C6BE0" w:rsidRDefault="009A7AA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</w:t>
      </w:r>
    </w:p>
    <w:p w:rsidR="000C6BE0" w:rsidRDefault="009A7AA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package contains information about Course Intention (CI) along with other helpful links to assist you with your registration needs. </w:t>
      </w:r>
    </w:p>
    <w:p w:rsidR="000C6BE0" w:rsidRDefault="009A7AA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C6BE0" w:rsidRDefault="009A7AA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Participation in course intentions is mandatory </w:t>
      </w:r>
      <w:r>
        <w:rPr>
          <w:rFonts w:ascii="Arial" w:eastAsia="Arial" w:hAnsi="Arial" w:cs="Arial"/>
          <w:sz w:val="24"/>
          <w:szCs w:val="24"/>
        </w:rPr>
        <w:t>for ALL returning undergraduate students.</w:t>
      </w:r>
    </w:p>
    <w:p w:rsidR="000C6BE0" w:rsidRDefault="000C6B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C6BE0" w:rsidRDefault="009A7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Participating in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Course Intentions</w:t>
        </w:r>
      </w:hyperlink>
      <w:r>
        <w:rPr>
          <w:rFonts w:ascii="Arial" w:eastAsia="Arial" w:hAnsi="Arial" w:cs="Arial"/>
          <w:color w:val="222222"/>
          <w:sz w:val="24"/>
          <w:szCs w:val="24"/>
        </w:rPr>
        <w:t xml:space="preserve"> positions you for success and means....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:rsidR="000C6BE0" w:rsidRDefault="009A7A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You will be automatically enrolled in your selected courses for Fall 2024, Winter 20245.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rPr>
          <w:rFonts w:ascii="Arial" w:eastAsia="Arial" w:hAnsi="Arial" w:cs="Arial"/>
          <w:color w:val="222222"/>
          <w:sz w:val="20"/>
          <w:szCs w:val="20"/>
        </w:rPr>
      </w:pPr>
    </w:p>
    <w:p w:rsidR="000C6BE0" w:rsidRDefault="009A7A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32" w:hanging="432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If you are an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OSAP</w:t>
        </w:r>
      </w:hyperlink>
      <w:r>
        <w:rPr>
          <w:rFonts w:ascii="Arial" w:eastAsia="Arial" w:hAnsi="Arial" w:cs="Arial"/>
          <w:color w:val="222222"/>
          <w:sz w:val="24"/>
          <w:szCs w:val="24"/>
        </w:rPr>
        <w:t xml:space="preserve"> student you will receive your Confirmation of Enrolment in a</w:t>
      </w:r>
      <w:r>
        <w:rPr>
          <w:rFonts w:ascii="Arial" w:eastAsia="Arial" w:hAnsi="Arial" w:cs="Arial"/>
          <w:color w:val="222222"/>
          <w:sz w:val="24"/>
          <w:szCs w:val="24"/>
        </w:rPr>
        <w:br/>
        <w:t>timely manner ensuring earlier receipt of your funds.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:rsidR="000C6BE0" w:rsidRDefault="009A7A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Minimize the wait time in getting the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Academic Accommodation Support</w:t>
        </w:r>
      </w:hyperlink>
      <w:r>
        <w:rPr>
          <w:rFonts w:ascii="Arial" w:eastAsia="Arial" w:hAnsi="Arial" w:cs="Arial"/>
          <w:color w:val="222222"/>
          <w:sz w:val="24"/>
          <w:szCs w:val="24"/>
        </w:rPr>
        <w:t xml:space="preserve"> (AAS) you need.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:rsidR="000C6BE0" w:rsidRDefault="009A7A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It is also helpful to the School to determine whether we need to add additional sections or courses to accommodate students going through the program </w:t>
      </w:r>
      <w:r>
        <w:rPr>
          <w:rFonts w:ascii="Arial" w:eastAsia="Arial" w:hAnsi="Arial" w:cs="Arial"/>
          <w:color w:val="222222"/>
          <w:sz w:val="24"/>
          <w:szCs w:val="24"/>
        </w:rPr>
        <w:t>at a quicker pace.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:rsidR="000C6BE0" w:rsidRDefault="009A7A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You can request RESP and other 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Enrolment Confirmation Forms</w:t>
        </w:r>
      </w:hyperlink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color w:val="222222"/>
          <w:sz w:val="24"/>
          <w:szCs w:val="24"/>
        </w:rPr>
        <w:t>earlier.</w:t>
      </w:r>
    </w:p>
    <w:p w:rsidR="000C6BE0" w:rsidRDefault="000C6BE0">
      <w:pPr>
        <w:spacing w:after="0" w:line="360" w:lineRule="auto"/>
        <w:rPr>
          <w:rFonts w:ascii="Arial" w:eastAsia="Arial" w:hAnsi="Arial" w:cs="Arial"/>
        </w:rPr>
      </w:pPr>
    </w:p>
    <w:p w:rsidR="000C6BE0" w:rsidRDefault="009A7AA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Course Intention Period for Fall 2024 and Winter 2025</w:t>
      </w:r>
    </w:p>
    <w:p w:rsidR="000C6BE0" w:rsidRDefault="000C6BE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0C6BE0" w:rsidRDefault="009A7A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Course Intention period begins on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Thursday, March 7, 2024 </w:t>
      </w:r>
      <w:r>
        <w:rPr>
          <w:rFonts w:ascii="Arial" w:eastAsia="Arial" w:hAnsi="Arial" w:cs="Arial"/>
          <w:color w:val="000000"/>
          <w:sz w:val="24"/>
          <w:szCs w:val="24"/>
        </w:rPr>
        <w:t>(at 6:00am)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will remain open until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Wednesday, March 13, 2024 </w:t>
      </w:r>
      <w:r>
        <w:rPr>
          <w:rFonts w:ascii="Arial" w:eastAsia="Arial" w:hAnsi="Arial" w:cs="Arial"/>
          <w:color w:val="000000"/>
          <w:sz w:val="24"/>
          <w:szCs w:val="24"/>
        </w:rPr>
        <w:t>(11:59pm).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Arial" w:eastAsia="Arial" w:hAnsi="Arial" w:cs="Arial"/>
          <w:color w:val="000000"/>
          <w:sz w:val="24"/>
          <w:szCs w:val="24"/>
        </w:rPr>
      </w:pPr>
    </w:p>
    <w:p w:rsidR="000C6BE0" w:rsidRDefault="009A7A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Students will be able to course intend for </w:t>
      </w:r>
      <w:r>
        <w:rPr>
          <w:rFonts w:ascii="Arial" w:eastAsia="Arial" w:hAnsi="Arial" w:cs="Arial"/>
          <w:b/>
          <w:color w:val="000000"/>
          <w:sz w:val="24"/>
          <w:szCs w:val="24"/>
        </w:rPr>
        <w:t>DST required and DST prefix elective courses only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during this time (see list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 DST courses on page 2).</w:t>
      </w:r>
    </w:p>
    <w:p w:rsidR="000C6BE0" w:rsidRDefault="000C6BE0">
      <w:p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</w:p>
    <w:p w:rsidR="000C6BE0" w:rsidRDefault="009A7A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Information relating to Core Electives and Liberal Studies will be available sometime late June once Continuing Education has released their Fall 2024- Winter 2025 Calendar. I will keep you posted. 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C6BE0" w:rsidRDefault="009A7A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Take a moment to review you</w:t>
      </w:r>
      <w:r>
        <w:rPr>
          <w:rFonts w:ascii="Arial" w:eastAsia="Arial" w:hAnsi="Arial" w:cs="Arial"/>
          <w:b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12" w:anchor="!accordion-1620325745766-accessing-the-advisement-report-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Advisement Report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 This will assist you in planning your course intentions by identifyin</w:t>
      </w:r>
      <w:r>
        <w:rPr>
          <w:rFonts w:ascii="Arial" w:eastAsia="Arial" w:hAnsi="Arial" w:cs="Arial"/>
          <w:color w:val="000000"/>
          <w:sz w:val="24"/>
          <w:szCs w:val="24"/>
        </w:rPr>
        <w:t>g the curriculum requirements that you have satisfied and the requirements that remain outstanding.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 also shows courses that are NOT applicable (NA) towards your BA.  Therefore, it is important that you check your Advisement Report at time of registratio</w:t>
      </w:r>
      <w:r>
        <w:rPr>
          <w:rFonts w:ascii="Arial" w:eastAsia="Arial" w:hAnsi="Arial" w:cs="Arial"/>
          <w:color w:val="000000"/>
          <w:sz w:val="24"/>
          <w:szCs w:val="24"/>
        </w:rPr>
        <w:t>n to avoid such issues.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C6BE0" w:rsidRDefault="009A7A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Course Intention Adjustment period for fall 2024 and winter 2</w:t>
      </w:r>
      <w:r>
        <w:rPr>
          <w:rFonts w:ascii="Arial" w:eastAsia="Arial" w:hAnsi="Arial" w:cs="Arial"/>
          <w:sz w:val="24"/>
          <w:szCs w:val="24"/>
        </w:rPr>
        <w:t>025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May 10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11th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(see </w:t>
      </w:r>
      <w:hyperlink r:id="rId13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Course Enrolment Dates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During this time students can make changes to their fall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and winter schedule.  This is also an opportunity for students who did not get a chance to Course Intend in March can do so at this time.</w:t>
      </w:r>
    </w:p>
    <w:p w:rsidR="000C6BE0" w:rsidRDefault="009A7AA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360" w:lineRule="auto"/>
        <w:ind w:left="36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DST Offering Fall 2024 – Winter 2025</w:t>
      </w:r>
    </w:p>
    <w:tbl>
      <w:tblPr>
        <w:tblStyle w:val="a3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2355"/>
        <w:gridCol w:w="2250"/>
      </w:tblGrid>
      <w:tr w:rsidR="000C6BE0">
        <w:trPr>
          <w:trHeight w:val="340"/>
        </w:trPr>
        <w:tc>
          <w:tcPr>
            <w:tcW w:w="5580" w:type="dxa"/>
            <w:shd w:val="clear" w:color="auto" w:fill="D9D9D9"/>
            <w:vAlign w:val="center"/>
          </w:tcPr>
          <w:p w:rsidR="000C6BE0" w:rsidRDefault="009A7AA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CORE/REQUIRED</w:t>
            </w:r>
          </w:p>
        </w:tc>
        <w:tc>
          <w:tcPr>
            <w:tcW w:w="2355" w:type="dxa"/>
            <w:shd w:val="clear" w:color="auto" w:fill="D9D9D9"/>
            <w:vAlign w:val="center"/>
          </w:tcPr>
          <w:p w:rsidR="000C6BE0" w:rsidRDefault="009A7AA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Fall 2024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6BE0" w:rsidRDefault="009A7AA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Winter 2025</w:t>
            </w:r>
          </w:p>
        </w:tc>
      </w:tr>
      <w:tr w:rsidR="000C6BE0">
        <w:trPr>
          <w:trHeight w:val="602"/>
        </w:trPr>
        <w:tc>
          <w:tcPr>
            <w:tcW w:w="5580" w:type="dxa"/>
            <w:shd w:val="clear" w:color="auto" w:fill="auto"/>
            <w:vAlign w:val="center"/>
          </w:tcPr>
          <w:p w:rsidR="000C6BE0" w:rsidRDefault="009A7AAF">
            <w:pPr>
              <w:pStyle w:val="Heading1"/>
              <w:shd w:val="clear" w:color="auto" w:fill="FFFFFF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DST 501</w:t>
            </w:r>
            <w:r>
              <w:rPr>
                <w:sz w:val="22"/>
                <w:szCs w:val="22"/>
              </w:rPr>
              <w:t>: Rethinking Disability</w:t>
            </w:r>
          </w:p>
          <w:p w:rsidR="000C6BE0" w:rsidRDefault="009A7AA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(Prerequisite for all DST core courses)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6BE0" w:rsidRDefault="009A7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Online/Internet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6BE0" w:rsidRDefault="009A7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Online/Internet</w:t>
            </w:r>
          </w:p>
        </w:tc>
      </w:tr>
      <w:tr w:rsidR="000C6BE0">
        <w:trPr>
          <w:trHeight w:val="548"/>
        </w:trPr>
        <w:tc>
          <w:tcPr>
            <w:tcW w:w="5580" w:type="dxa"/>
            <w:shd w:val="clear" w:color="auto" w:fill="auto"/>
            <w:vAlign w:val="center"/>
          </w:tcPr>
          <w:p w:rsidR="000C6BE0" w:rsidRDefault="009A7A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DST 502</w:t>
            </w:r>
            <w:r>
              <w:rPr>
                <w:rFonts w:ascii="Arial" w:eastAsia="Arial" w:hAnsi="Arial" w:cs="Arial"/>
                <w:b/>
              </w:rPr>
              <w:t>: Disability and the State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6BE0" w:rsidRDefault="009A7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Online/Internet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6BE0" w:rsidRDefault="000C6BE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C6BE0">
        <w:trPr>
          <w:trHeight w:val="629"/>
        </w:trPr>
        <w:tc>
          <w:tcPr>
            <w:tcW w:w="5580" w:type="dxa"/>
            <w:shd w:val="clear" w:color="auto" w:fill="auto"/>
            <w:vAlign w:val="center"/>
          </w:tcPr>
          <w:p w:rsidR="000C6BE0" w:rsidRDefault="009A7A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DST 504</w:t>
            </w:r>
            <w:r>
              <w:rPr>
                <w:rFonts w:ascii="Arial" w:eastAsia="Arial" w:hAnsi="Arial" w:cs="Arial"/>
                <w:b/>
              </w:rPr>
              <w:t xml:space="preserve">: Mad People’s History 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i/>
              </w:rPr>
              <w:t>(No prerequisite required)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C6BE0" w:rsidRDefault="009A7AA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Online/Internet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6BE0" w:rsidRDefault="009A7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Online/Internet</w:t>
            </w:r>
          </w:p>
        </w:tc>
      </w:tr>
      <w:tr w:rsidR="000C6BE0">
        <w:trPr>
          <w:trHeight w:val="557"/>
        </w:trPr>
        <w:tc>
          <w:tcPr>
            <w:tcW w:w="5580" w:type="dxa"/>
            <w:shd w:val="clear" w:color="auto" w:fill="auto"/>
            <w:vAlign w:val="center"/>
          </w:tcPr>
          <w:p w:rsidR="000C6BE0" w:rsidRDefault="009A7A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DST 506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Intro to Accessibility Practices 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i/>
              </w:rPr>
              <w:t>(No prerequisite required)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6BE0" w:rsidRDefault="009A7AA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Online/Internet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0C6BE0" w:rsidRDefault="000C6B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C6BE0">
        <w:trPr>
          <w:trHeight w:val="521"/>
        </w:trPr>
        <w:tc>
          <w:tcPr>
            <w:tcW w:w="5580" w:type="dxa"/>
            <w:shd w:val="clear" w:color="auto" w:fill="auto"/>
            <w:vAlign w:val="center"/>
          </w:tcPr>
          <w:p w:rsidR="000C6BE0" w:rsidRDefault="009A7A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DST 507</w:t>
            </w:r>
            <w:r>
              <w:rPr>
                <w:rFonts w:ascii="Arial" w:eastAsia="Arial" w:hAnsi="Arial" w:cs="Arial"/>
                <w:b/>
              </w:rPr>
              <w:t xml:space="preserve">: Disability, Justice &amp; Good Human Life 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6BE0" w:rsidRDefault="000C6BE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0C6BE0" w:rsidRDefault="009A7AA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Online/Internet</w:t>
            </w:r>
          </w:p>
        </w:tc>
      </w:tr>
      <w:tr w:rsidR="000C6BE0">
        <w:trPr>
          <w:trHeight w:val="503"/>
        </w:trPr>
        <w:tc>
          <w:tcPr>
            <w:tcW w:w="5580" w:type="dxa"/>
            <w:shd w:val="clear" w:color="auto" w:fill="auto"/>
            <w:vAlign w:val="center"/>
          </w:tcPr>
          <w:p w:rsidR="000C6BE0" w:rsidRDefault="009A7AAF">
            <w:p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DST525: Disability and Representation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6BE0" w:rsidRDefault="000C6BE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0C6BE0" w:rsidRDefault="009A7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Online/Internet</w:t>
            </w:r>
          </w:p>
        </w:tc>
      </w:tr>
      <w:tr w:rsidR="000C6BE0">
        <w:trPr>
          <w:trHeight w:val="539"/>
        </w:trPr>
        <w:tc>
          <w:tcPr>
            <w:tcW w:w="5580" w:type="dxa"/>
            <w:shd w:val="clear" w:color="auto" w:fill="auto"/>
            <w:vAlign w:val="center"/>
          </w:tcPr>
          <w:p w:rsidR="000C6BE0" w:rsidRDefault="009A7AAF">
            <w:p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DST613: Strategies for Community Building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6BE0" w:rsidRDefault="000C6BE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0C6BE0" w:rsidRDefault="009A7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Online/Internet</w:t>
            </w:r>
          </w:p>
        </w:tc>
      </w:tr>
      <w:tr w:rsidR="000C6BE0">
        <w:trPr>
          <w:trHeight w:val="611"/>
        </w:trPr>
        <w:tc>
          <w:tcPr>
            <w:tcW w:w="5580" w:type="dxa"/>
            <w:shd w:val="clear" w:color="auto" w:fill="auto"/>
            <w:vAlign w:val="center"/>
          </w:tcPr>
          <w:p w:rsidR="000C6BE0" w:rsidRDefault="009A7AAF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DST 725</w:t>
            </w:r>
            <w:r>
              <w:rPr>
                <w:rFonts w:ascii="Arial" w:eastAsia="Arial" w:hAnsi="Arial" w:cs="Arial"/>
                <w:b/>
              </w:rPr>
              <w:t>: Politics and Practice of Interventions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6BE0" w:rsidRDefault="000C6BE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0C6BE0" w:rsidRDefault="009A7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Online/Internet</w:t>
            </w:r>
          </w:p>
        </w:tc>
      </w:tr>
      <w:tr w:rsidR="000C6BE0">
        <w:trPr>
          <w:trHeight w:val="557"/>
        </w:trPr>
        <w:tc>
          <w:tcPr>
            <w:tcW w:w="5580" w:type="dxa"/>
            <w:shd w:val="clear" w:color="auto" w:fill="auto"/>
            <w:vAlign w:val="center"/>
          </w:tcPr>
          <w:p w:rsidR="000C6BE0" w:rsidRDefault="009A7A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DST 727</w:t>
            </w:r>
            <w:r>
              <w:rPr>
                <w:rFonts w:ascii="Arial" w:eastAsia="Arial" w:hAnsi="Arial" w:cs="Arial"/>
                <w:b/>
              </w:rPr>
              <w:t xml:space="preserve">: Leadership for Changing Times 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6BE0" w:rsidRDefault="009A7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Online/Internet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0C6BE0" w:rsidRDefault="000C6BE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C6BE0">
        <w:trPr>
          <w:trHeight w:val="539"/>
        </w:trPr>
        <w:tc>
          <w:tcPr>
            <w:tcW w:w="5580" w:type="dxa"/>
            <w:shd w:val="clear" w:color="auto" w:fill="auto"/>
            <w:vAlign w:val="center"/>
          </w:tcPr>
          <w:p w:rsidR="000C6BE0" w:rsidRDefault="009A7A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DST 88A/B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b/>
              </w:rPr>
              <w:t>Research Methods</w:t>
            </w:r>
          </w:p>
        </w:tc>
        <w:tc>
          <w:tcPr>
            <w:tcW w:w="4605" w:type="dxa"/>
            <w:gridSpan w:val="2"/>
            <w:shd w:val="clear" w:color="auto" w:fill="auto"/>
            <w:vAlign w:val="center"/>
          </w:tcPr>
          <w:p w:rsidR="000C6BE0" w:rsidRDefault="009A7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Online (Two </w:t>
            </w:r>
            <w:proofErr w:type="gramStart"/>
            <w:r>
              <w:rPr>
                <w:rFonts w:ascii="Arial" w:eastAsia="Arial" w:hAnsi="Arial" w:cs="Arial"/>
                <w:b/>
              </w:rPr>
              <w:t>term</w:t>
            </w:r>
            <w:proofErr w:type="gramEnd"/>
            <w:r>
              <w:rPr>
                <w:rFonts w:ascii="Arial" w:eastAsia="Arial" w:hAnsi="Arial" w:cs="Arial"/>
                <w:b/>
              </w:rPr>
              <w:t>-Fall and Winter)</w:t>
            </w:r>
          </w:p>
        </w:tc>
      </w:tr>
      <w:tr w:rsidR="000C6BE0">
        <w:trPr>
          <w:trHeight w:val="530"/>
        </w:trPr>
        <w:tc>
          <w:tcPr>
            <w:tcW w:w="5580" w:type="dxa"/>
            <w:shd w:val="clear" w:color="auto" w:fill="auto"/>
            <w:vAlign w:val="center"/>
          </w:tcPr>
          <w:p w:rsidR="000C6BE0" w:rsidRDefault="009A7A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DST 99A/B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b/>
              </w:rPr>
              <w:t>Applied Community Project/Thesis</w:t>
            </w:r>
          </w:p>
        </w:tc>
        <w:tc>
          <w:tcPr>
            <w:tcW w:w="4605" w:type="dxa"/>
            <w:gridSpan w:val="2"/>
            <w:shd w:val="clear" w:color="auto" w:fill="auto"/>
            <w:vAlign w:val="center"/>
          </w:tcPr>
          <w:p w:rsidR="000C6BE0" w:rsidRDefault="009A7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Online (Two </w:t>
            </w:r>
            <w:proofErr w:type="gramStart"/>
            <w:r>
              <w:rPr>
                <w:rFonts w:ascii="Arial" w:eastAsia="Arial" w:hAnsi="Arial" w:cs="Arial"/>
                <w:b/>
              </w:rPr>
              <w:t>term</w:t>
            </w:r>
            <w:proofErr w:type="gramEnd"/>
            <w:r>
              <w:rPr>
                <w:rFonts w:ascii="Arial" w:eastAsia="Arial" w:hAnsi="Arial" w:cs="Arial"/>
                <w:b/>
              </w:rPr>
              <w:t>-Fall and Winter)</w:t>
            </w:r>
          </w:p>
        </w:tc>
      </w:tr>
    </w:tbl>
    <w:p w:rsidR="000C6BE0" w:rsidRDefault="009A7AAF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Note- DST88AB, DST99AB are yearlong courses and cannot be completed simultaneously.</w:t>
      </w:r>
      <w:r>
        <w:rPr>
          <w:rFonts w:ascii="Arial" w:eastAsia="Arial" w:hAnsi="Arial" w:cs="Arial"/>
          <w:b/>
        </w:rPr>
        <w:t xml:space="preserve"> Please refer to the Undergraduate Calendar for </w:t>
      </w:r>
      <w:hyperlink r:id="rId14">
        <w:r>
          <w:rPr>
            <w:rFonts w:ascii="Arial" w:eastAsia="Arial" w:hAnsi="Arial" w:cs="Arial"/>
            <w:b/>
            <w:color w:val="0000FF"/>
            <w:u w:val="single"/>
          </w:rPr>
          <w:t>Course description</w:t>
        </w:r>
      </w:hyperlink>
      <w:r>
        <w:rPr>
          <w:rFonts w:ascii="Arial" w:eastAsia="Arial" w:hAnsi="Arial" w:cs="Arial"/>
          <w:b/>
        </w:rPr>
        <w:t>.</w:t>
      </w:r>
    </w:p>
    <w:p w:rsidR="000C6BE0" w:rsidRDefault="000C6BE0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4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5"/>
        <w:gridCol w:w="1890"/>
        <w:gridCol w:w="1890"/>
      </w:tblGrid>
      <w:tr w:rsidR="000C6BE0">
        <w:trPr>
          <w:trHeight w:val="440"/>
        </w:trPr>
        <w:tc>
          <w:tcPr>
            <w:tcW w:w="6385" w:type="dxa"/>
            <w:shd w:val="clear" w:color="auto" w:fill="D9D9D9"/>
            <w:vAlign w:val="center"/>
          </w:tcPr>
          <w:p w:rsidR="000C6BE0" w:rsidRDefault="009A7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Core Elective and or Open Elective (OE)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0C6BE0" w:rsidRDefault="009A7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Fall 2024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0C6BE0" w:rsidRDefault="009A7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Winter 2025</w:t>
            </w:r>
          </w:p>
        </w:tc>
      </w:tr>
      <w:tr w:rsidR="000C6BE0">
        <w:tc>
          <w:tcPr>
            <w:tcW w:w="6385" w:type="dxa"/>
            <w:vAlign w:val="center"/>
          </w:tcPr>
          <w:p w:rsidR="000C6BE0" w:rsidRDefault="009A7A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DST</w:t>
            </w:r>
            <w:proofErr w:type="gramStart"/>
            <w:r>
              <w:rPr>
                <w:rFonts w:ascii="Arial" w:eastAsia="Arial" w:hAnsi="Arial" w:cs="Arial"/>
                <w:b/>
              </w:rPr>
              <w:t>503:Current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Topics I- Enabling Accessible Healthcare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6BE0" w:rsidRDefault="009A7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Online/Internet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0C6BE0" w:rsidRDefault="000C6BE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C6BE0">
        <w:tc>
          <w:tcPr>
            <w:tcW w:w="6385" w:type="dxa"/>
            <w:vAlign w:val="center"/>
          </w:tcPr>
          <w:p w:rsidR="000C6BE0" w:rsidRDefault="009A7A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DST509: Disability Arts and Culture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6BE0" w:rsidRDefault="009A7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Online/Internet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0C6BE0" w:rsidRDefault="000C6BE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C6BE0" w:rsidRDefault="000C6BE0">
      <w:pPr>
        <w:rPr>
          <w:rFonts w:ascii="Arial" w:eastAsia="Arial" w:hAnsi="Arial" w:cs="Arial"/>
          <w:highlight w:val="yellow"/>
        </w:rPr>
      </w:pPr>
    </w:p>
    <w:p w:rsidR="000C6BE0" w:rsidRDefault="009A7AAF">
      <w:pP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NOTE: </w:t>
      </w:r>
      <w:r>
        <w:rPr>
          <w:rFonts w:ascii="Arial" w:eastAsia="Arial" w:hAnsi="Arial" w:cs="Arial"/>
          <w:b/>
          <w:highlight w:val="yellow"/>
        </w:rPr>
        <w:t>DST300, DST500, DST508, DST510, DST601 and DST605</w:t>
      </w:r>
      <w:r>
        <w:rPr>
          <w:rFonts w:ascii="Arial" w:eastAsia="Arial" w:hAnsi="Arial" w:cs="Arial"/>
          <w:highlight w:val="yellow"/>
        </w:rPr>
        <w:t xml:space="preserve"> are </w:t>
      </w:r>
      <w:r>
        <w:rPr>
          <w:rFonts w:ascii="Arial" w:eastAsia="Arial" w:hAnsi="Arial" w:cs="Arial"/>
          <w:b/>
          <w:highlight w:val="yellow"/>
        </w:rPr>
        <w:t>NOT</w:t>
      </w:r>
      <w:r>
        <w:rPr>
          <w:rFonts w:ascii="Arial" w:eastAsia="Arial" w:hAnsi="Arial" w:cs="Arial"/>
          <w:highlight w:val="yellow"/>
        </w:rPr>
        <w:t xml:space="preserve"> for credit to Program students. </w:t>
      </w:r>
      <w:r>
        <w:rPr>
          <w:rFonts w:ascii="Arial" w:eastAsia="Arial" w:hAnsi="Arial" w:cs="Arial"/>
          <w:b/>
          <w:highlight w:val="yellow"/>
        </w:rPr>
        <w:t>DO NOT REGISTER FOR THESE COURSES.</w:t>
      </w:r>
      <w:r>
        <w:rPr>
          <w:rFonts w:ascii="Arial" w:eastAsia="Arial" w:hAnsi="Arial" w:cs="Arial"/>
          <w:highlight w:val="yellow"/>
        </w:rPr>
        <w:t xml:space="preserve"> These liberal studies courses are only for NON-Program students.  </w:t>
      </w:r>
    </w:p>
    <w:p w:rsidR="000C6BE0" w:rsidRDefault="000C6B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C6BE0" w:rsidRDefault="009A7AA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/>
      </w:r>
      <w:r>
        <w:br w:type="page"/>
      </w:r>
    </w:p>
    <w:p w:rsidR="000C6BE0" w:rsidRDefault="009A7AA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Helpful Links and General Information:</w:t>
      </w:r>
    </w:p>
    <w:p w:rsidR="000C6BE0" w:rsidRDefault="009A7A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Access Student Accounts and Email</w:t>
      </w:r>
    </w:p>
    <w:p w:rsidR="000C6BE0" w:rsidRDefault="009A7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hyperlink r:id="rId1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Activate your Online Identity</w:t>
        </w:r>
      </w:hyperlink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Once your account has been converted to a student account, you will be prompted to create a TMU username and set-up your student email address (name@torontomu.ca) through the </w:t>
      </w:r>
      <w:proofErr w:type="spellStart"/>
      <w:r>
        <w:fldChar w:fldCharType="begin"/>
      </w:r>
      <w:r>
        <w:instrText xml:space="preserve"> HYPERLINK "https://my.torontomu.ca/uPortal/f/u21l1s1000/normal/render.uP" \h </w:instrText>
      </w:r>
      <w:r>
        <w:fldChar w:fldCharType="separate"/>
      </w:r>
      <w:r>
        <w:rPr>
          <w:rFonts w:ascii="Arial" w:eastAsia="Arial" w:hAnsi="Arial" w:cs="Arial"/>
          <w:color w:val="004C9B"/>
          <w:u w:val="single"/>
        </w:rPr>
        <w:t>my.torontomu</w:t>
      </w:r>
      <w:proofErr w:type="spellEnd"/>
      <w:r>
        <w:rPr>
          <w:rFonts w:ascii="Arial" w:eastAsia="Arial" w:hAnsi="Arial" w:cs="Arial"/>
          <w:color w:val="004C9B"/>
          <w:u w:val="single"/>
        </w:rPr>
        <w:fldChar w:fldCharType="end"/>
      </w:r>
      <w:r>
        <w:rPr>
          <w:rFonts w:ascii="Arial" w:eastAsia="Arial" w:hAnsi="Arial" w:cs="Arial"/>
          <w:color w:val="000000"/>
        </w:rPr>
        <w:t> portal the next time you log in.</w:t>
      </w:r>
    </w:p>
    <w:p w:rsidR="000C6BE0" w:rsidRDefault="009A7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0C6BE0" w:rsidRDefault="009A7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Your TMU online identity grants you an account to access </w:t>
      </w:r>
      <w:hyperlink r:id="rId16">
        <w:r>
          <w:rPr>
            <w:rFonts w:ascii="Arial" w:eastAsia="Arial" w:hAnsi="Arial" w:cs="Arial"/>
            <w:color w:val="004C9B"/>
            <w:u w:val="single"/>
          </w:rPr>
          <w:t>online resources</w:t>
        </w:r>
      </w:hyperlink>
      <w:r>
        <w:rPr>
          <w:rFonts w:ascii="Arial" w:eastAsia="Arial" w:hAnsi="Arial" w:cs="Arial"/>
          <w:color w:val="000000"/>
        </w:rPr>
        <w:t xml:space="preserve"> such as the </w:t>
      </w:r>
      <w:hyperlink r:id="rId17">
        <w:proofErr w:type="spellStart"/>
        <w:r>
          <w:rPr>
            <w:rFonts w:ascii="Arial" w:eastAsia="Arial" w:hAnsi="Arial" w:cs="Arial"/>
            <w:color w:val="0000FF"/>
            <w:u w:val="single"/>
          </w:rPr>
          <w:t>my.torontomu</w:t>
        </w:r>
        <w:proofErr w:type="spellEnd"/>
      </w:hyperlink>
      <w:r>
        <w:rPr>
          <w:rFonts w:ascii="Arial" w:eastAsia="Arial" w:hAnsi="Arial" w:cs="Arial"/>
          <w:color w:val="000000"/>
        </w:rPr>
        <w:t xml:space="preserve"> portal, which includes the </w:t>
      </w:r>
      <w:hyperlink r:id="rId18" w:anchor="!accordion-1613141847533-viewing-and-printing-reports">
        <w:proofErr w:type="spellStart"/>
        <w:r>
          <w:rPr>
            <w:rFonts w:ascii="Arial" w:eastAsia="Arial" w:hAnsi="Arial" w:cs="Arial"/>
            <w:color w:val="0000FF"/>
            <w:u w:val="single"/>
          </w:rPr>
          <w:t>MyServi</w:t>
        </w:r>
        <w:r>
          <w:rPr>
            <w:rFonts w:ascii="Arial" w:eastAsia="Arial" w:hAnsi="Arial" w:cs="Arial"/>
            <w:color w:val="0000FF"/>
            <w:u w:val="single"/>
          </w:rPr>
          <w:t>ceHub</w:t>
        </w:r>
        <w:proofErr w:type="spellEnd"/>
      </w:hyperlink>
      <w:r>
        <w:rPr>
          <w:rFonts w:ascii="Arial" w:eastAsia="Arial" w:hAnsi="Arial" w:cs="Arial"/>
          <w:color w:val="000000"/>
        </w:rPr>
        <w:t xml:space="preserve"> online system that lets you manage all aspects of your academic, personal and financial information at Toronto Metropolitan University (TMU).</w:t>
      </w:r>
    </w:p>
    <w:p w:rsidR="000C6BE0" w:rsidRDefault="009A7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16"/>
          <w:szCs w:val="16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0C6BE0" w:rsidRDefault="009A7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All students are required to use </w:t>
      </w:r>
      <w:hyperlink r:id="rId19">
        <w:r>
          <w:rPr>
            <w:rFonts w:ascii="Arial" w:eastAsia="Arial" w:hAnsi="Arial" w:cs="Arial"/>
            <w:b/>
            <w:color w:val="0000FF"/>
            <w:u w:val="single"/>
          </w:rPr>
          <w:t>Two-factor Authentication</w:t>
        </w:r>
      </w:hyperlink>
      <w:r>
        <w:rPr>
          <w:rFonts w:ascii="Arial" w:eastAsia="Arial" w:hAnsi="Arial" w:cs="Arial"/>
          <w:b/>
          <w:color w:val="000000"/>
        </w:rPr>
        <w:t xml:space="preserve"> to access TMU services. All official university communication will be communicated via your TMU email. </w:t>
      </w:r>
      <w:r>
        <w:rPr>
          <w:rFonts w:ascii="Arial" w:eastAsia="Arial" w:hAnsi="Arial" w:cs="Arial"/>
          <w:color w:val="000000"/>
        </w:rPr>
        <w:t>Please ma</w:t>
      </w:r>
      <w:r>
        <w:rPr>
          <w:rFonts w:ascii="Arial" w:eastAsia="Arial" w:hAnsi="Arial" w:cs="Arial"/>
          <w:color w:val="000000"/>
        </w:rPr>
        <w:t>ke sure to check it frequently.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C6BE0" w:rsidRDefault="009A7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University Supports and Resources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C6BE0" w:rsidRDefault="009A7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hyperlink r:id="rId20">
        <w:r>
          <w:rPr>
            <w:rFonts w:ascii="Arial" w:eastAsia="Arial" w:hAnsi="Arial" w:cs="Arial"/>
            <w:color w:val="0000FF"/>
            <w:u w:val="single"/>
          </w:rPr>
          <w:t>Office of the Registrar (RO) Current Student</w:t>
        </w:r>
      </w:hyperlink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supports the entire academic experience of the student body, from admission throu</w:t>
      </w:r>
      <w:r>
        <w:rPr>
          <w:rFonts w:ascii="Arial" w:eastAsia="Arial" w:hAnsi="Arial" w:cs="Arial"/>
          <w:color w:val="000000"/>
          <w:highlight w:val="white"/>
        </w:rPr>
        <w:t>gh to graduation.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0C6BE0" w:rsidRDefault="009A7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hyperlink r:id="rId21">
        <w:proofErr w:type="spellStart"/>
        <w:r>
          <w:rPr>
            <w:rFonts w:ascii="Arial" w:eastAsia="Arial" w:hAnsi="Arial" w:cs="Arial"/>
            <w:color w:val="0000FF"/>
            <w:u w:val="single"/>
          </w:rPr>
          <w:t>MyServiceHub</w:t>
        </w:r>
        <w:proofErr w:type="spellEnd"/>
        <w:r>
          <w:rPr>
            <w:rFonts w:ascii="Arial" w:eastAsia="Arial" w:hAnsi="Arial" w:cs="Arial"/>
            <w:color w:val="0000FF"/>
            <w:u w:val="single"/>
          </w:rPr>
          <w:t xml:space="preserve"> Support Home Page</w:t>
        </w:r>
      </w:hyperlink>
      <w:r>
        <w:rPr>
          <w:rFonts w:ascii="Arial" w:eastAsia="Arial" w:hAnsi="Arial" w:cs="Arial"/>
          <w:color w:val="000000"/>
        </w:rPr>
        <w:t xml:space="preserve"> is a one-stop shop for everything you need to do online, such as viewing your academic, financial and personal information at TMU. 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:rsidR="000C6BE0" w:rsidRDefault="009A7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22">
        <w:proofErr w:type="spellStart"/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ServiceHUB</w:t>
        </w:r>
        <w:proofErr w:type="spellEnd"/>
      </w:hyperlink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is your one stop administrative shop from undergraduate admissions to graduation, and all things in between, from fees, OSAP, and Awards, to transcripts and more.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0C6BE0" w:rsidRDefault="009A7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Undergraduate Calendar and Course Enrollment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C6BE0" w:rsidRDefault="009A7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hyperlink r:id="rId23">
        <w:r>
          <w:rPr>
            <w:rFonts w:ascii="Arial" w:eastAsia="Arial" w:hAnsi="Arial" w:cs="Arial"/>
            <w:color w:val="0000FF"/>
            <w:u w:val="single"/>
          </w:rPr>
          <w:t>Undergraduate Calendar</w:t>
        </w:r>
      </w:hyperlink>
      <w:r>
        <w:rPr>
          <w:rFonts w:ascii="Arial" w:eastAsia="Arial" w:hAnsi="Arial" w:cs="Arial"/>
          <w:color w:val="000000"/>
        </w:rPr>
        <w:t xml:space="preserve"> is your guide to many of the policies and procedures at TMU.  To get started review your </w:t>
      </w:r>
      <w:hyperlink r:id="rId24">
        <w:r>
          <w:rPr>
            <w:rFonts w:ascii="Arial" w:eastAsia="Arial" w:hAnsi="Arial" w:cs="Arial"/>
            <w:color w:val="0000FF"/>
            <w:u w:val="single"/>
          </w:rPr>
          <w:t>program</w:t>
        </w:r>
      </w:hyperlink>
      <w:r>
        <w:rPr>
          <w:rFonts w:ascii="Arial" w:eastAsia="Arial" w:hAnsi="Arial" w:cs="Arial"/>
          <w:color w:val="000000"/>
        </w:rPr>
        <w:t xml:space="preserve">.  Take a look at what courses you will be taking and electives that might interest you. </w:t>
      </w:r>
    </w:p>
    <w:p w:rsidR="000C6BE0" w:rsidRDefault="009A7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:rsidR="000C6BE0" w:rsidRDefault="009A7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NOTE the </w:t>
      </w:r>
      <w:hyperlink r:id="rId25" w:anchor="!accordion-1595938960803-academic-standing-variation">
        <w:r>
          <w:rPr>
            <w:rFonts w:ascii="Arial" w:eastAsia="Arial" w:hAnsi="Arial" w:cs="Arial"/>
            <w:b/>
            <w:color w:val="0000FF"/>
            <w:u w:val="single"/>
          </w:rPr>
          <w:t>Standing Academic Variation</w:t>
        </w:r>
      </w:hyperlink>
      <w:r>
        <w:rPr>
          <w:rFonts w:ascii="Arial" w:eastAsia="Arial" w:hAnsi="Arial" w:cs="Arial"/>
          <w:color w:val="000000"/>
        </w:rPr>
        <w:t xml:space="preserve"> this can affect your standing in the program.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0C6BE0" w:rsidRDefault="009A7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26" w:anchor="!accordion-1613141858464-option-3--search-for-and-enrol-in-a-specific-class">
        <w:r>
          <w:rPr>
            <w:rFonts w:ascii="Arial" w:eastAsia="Arial" w:hAnsi="Arial" w:cs="Arial"/>
            <w:color w:val="0000FF"/>
            <w:u w:val="single"/>
          </w:rPr>
          <w:t>How to Search for and Enrol in Specific Class</w:t>
        </w:r>
      </w:hyperlink>
      <w:r>
        <w:rPr>
          <w:rFonts w:ascii="Arial" w:eastAsia="Arial" w:hAnsi="Arial" w:cs="Arial"/>
          <w:color w:val="000000"/>
        </w:rPr>
        <w:t>.  Note courses you select are add</w:t>
      </w:r>
      <w:r>
        <w:rPr>
          <w:rFonts w:ascii="Arial" w:eastAsia="Arial" w:hAnsi="Arial" w:cs="Arial"/>
          <w:color w:val="000000"/>
        </w:rPr>
        <w:t xml:space="preserve">ed to your shopping cart.  To complete your </w:t>
      </w:r>
      <w:proofErr w:type="gramStart"/>
      <w:r>
        <w:rPr>
          <w:rFonts w:ascii="Arial" w:eastAsia="Arial" w:hAnsi="Arial" w:cs="Arial"/>
          <w:color w:val="000000"/>
        </w:rPr>
        <w:t>enrollment</w:t>
      </w:r>
      <w:proofErr w:type="gramEnd"/>
      <w:r>
        <w:rPr>
          <w:rFonts w:ascii="Arial" w:eastAsia="Arial" w:hAnsi="Arial" w:cs="Arial"/>
          <w:color w:val="000000"/>
        </w:rPr>
        <w:t xml:space="preserve"> you must finish Enrolling.  Go to your Shopping Cart, click on the Course(s) you want, click Enroll, and click Finish Enrolling.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:rsidR="000C6BE0" w:rsidRDefault="009A7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Always review your </w:t>
      </w:r>
      <w:hyperlink r:id="rId27" w:anchor="!accordion-1620325745766-accessing-the-advisement-report-">
        <w:r>
          <w:rPr>
            <w:rFonts w:ascii="Arial" w:eastAsia="Arial" w:hAnsi="Arial" w:cs="Arial"/>
            <w:color w:val="0000FF"/>
            <w:u w:val="single"/>
          </w:rPr>
          <w:t>Advisement Report</w:t>
        </w:r>
      </w:hyperlink>
      <w:r>
        <w:rPr>
          <w:rFonts w:ascii="Arial" w:eastAsia="Arial" w:hAnsi="Arial" w:cs="Arial"/>
          <w:color w:val="000000"/>
        </w:rPr>
        <w:t xml:space="preserve"> to make sure you are on track. Also, this is where you will find the list </w:t>
      </w:r>
      <w:r>
        <w:rPr>
          <w:rFonts w:ascii="Arial" w:eastAsia="Arial" w:hAnsi="Arial" w:cs="Arial"/>
          <w:color w:val="000000"/>
        </w:rPr>
        <w:t xml:space="preserve">of </w:t>
      </w:r>
      <w:r>
        <w:rPr>
          <w:rFonts w:ascii="Arial" w:eastAsia="Arial" w:hAnsi="Arial" w:cs="Arial"/>
          <w:b/>
          <w:color w:val="000000"/>
        </w:rPr>
        <w:t>Open Elective</w:t>
      </w:r>
      <w:r>
        <w:rPr>
          <w:rFonts w:ascii="Arial" w:eastAsia="Arial" w:hAnsi="Arial" w:cs="Arial"/>
          <w:color w:val="000000"/>
        </w:rPr>
        <w:t xml:space="preserve"> courses offered by different Faculty across the University.  Most students select from Faculty of Arts and or Community Services.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0C6BE0" w:rsidRDefault="009A7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hyperlink r:id="rId2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Academic Accommodation Support (AAS)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provides resources, education, training, and direct services such as academic accommodation plans in order that people with disabilities may have an equal opportunity to access and participate in higher education.</w:t>
      </w:r>
      <w:r>
        <w:rPr>
          <w:rFonts w:ascii="Arial" w:eastAsia="Arial" w:hAnsi="Arial" w:cs="Arial"/>
        </w:rPr>
        <w:t xml:space="preserve">  Begin the </w:t>
      </w:r>
      <w:hyperlink r:id="rId29">
        <w:r>
          <w:rPr>
            <w:rFonts w:ascii="Arial" w:eastAsia="Arial" w:hAnsi="Arial" w:cs="Arial"/>
            <w:color w:val="0000FF"/>
            <w:u w:val="single"/>
          </w:rPr>
          <w:t>registration process</w:t>
        </w:r>
      </w:hyperlink>
      <w:r>
        <w:rPr>
          <w:rFonts w:ascii="Arial" w:eastAsia="Arial" w:hAnsi="Arial" w:cs="Arial"/>
        </w:rPr>
        <w:t xml:space="preserve"> as soon as you receive your university email address so your Accommodations are in place when you need them.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0C6BE0">
      <w:footerReference w:type="default" r:id="rId30"/>
      <w:headerReference w:type="first" r:id="rId31"/>
      <w:footerReference w:type="first" r:id="rId32"/>
      <w:pgSz w:w="12240" w:h="15840"/>
      <w:pgMar w:top="1296" w:right="1152" w:bottom="1440" w:left="1152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AF" w:rsidRDefault="009A7AAF">
      <w:pPr>
        <w:spacing w:after="0" w:line="240" w:lineRule="auto"/>
      </w:pPr>
      <w:r>
        <w:separator/>
      </w:r>
    </w:p>
  </w:endnote>
  <w:endnote w:type="continuationSeparator" w:id="0">
    <w:p w:rsidR="009A7AAF" w:rsidRDefault="009A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E0" w:rsidRDefault="009A7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4C5586">
      <w:rPr>
        <w:b/>
        <w:color w:val="000000"/>
        <w:sz w:val="24"/>
        <w:szCs w:val="24"/>
      </w:rPr>
      <w:fldChar w:fldCharType="separate"/>
    </w:r>
    <w:r w:rsidR="004C558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4C5586">
      <w:rPr>
        <w:b/>
        <w:color w:val="000000"/>
        <w:sz w:val="24"/>
        <w:szCs w:val="24"/>
      </w:rPr>
      <w:fldChar w:fldCharType="separate"/>
    </w:r>
    <w:r w:rsidR="004C558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0C6BE0" w:rsidRDefault="000C6BE0">
    <w:pPr>
      <w:tabs>
        <w:tab w:val="left" w:pos="4320"/>
      </w:tabs>
      <w:spacing w:after="0"/>
      <w:rPr>
        <w:rFonts w:ascii="Arial" w:eastAsia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E0" w:rsidRDefault="009A7AA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350 Victoria Street</w:t>
    </w:r>
    <w:r>
      <w:rPr>
        <w:rFonts w:ascii="Arial" w:eastAsia="Arial" w:hAnsi="Arial" w:cs="Arial"/>
        <w:color w:val="000000"/>
        <w:sz w:val="18"/>
        <w:szCs w:val="18"/>
      </w:rPr>
      <w:tab/>
    </w:r>
  </w:p>
  <w:p w:rsidR="000C6BE0" w:rsidRDefault="009A7AA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Office: 99 Gerrard Street East, 5</w:t>
    </w:r>
    <w:r>
      <w:rPr>
        <w:rFonts w:ascii="Arial" w:eastAsia="Arial" w:hAnsi="Arial" w:cs="Arial"/>
        <w:color w:val="000000"/>
        <w:sz w:val="18"/>
        <w:szCs w:val="18"/>
        <w:vertAlign w:val="superscript"/>
      </w:rPr>
      <w:t>th</w:t>
    </w:r>
    <w:r>
      <w:rPr>
        <w:rFonts w:ascii="Arial" w:eastAsia="Arial" w:hAnsi="Arial" w:cs="Arial"/>
        <w:color w:val="000000"/>
        <w:sz w:val="18"/>
        <w:szCs w:val="18"/>
      </w:rPr>
      <w:t xml:space="preserve"> floor</w:t>
    </w:r>
    <w:r>
      <w:rPr>
        <w:rFonts w:ascii="Arial" w:eastAsia="Arial" w:hAnsi="Arial" w:cs="Arial"/>
        <w:color w:val="000000"/>
        <w:sz w:val="18"/>
        <w:szCs w:val="18"/>
      </w:rPr>
      <w:tab/>
    </w:r>
  </w:p>
  <w:p w:rsidR="000C6BE0" w:rsidRDefault="009A7AA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Toronto, ON, Canada   M5B 2K3</w:t>
    </w:r>
    <w:r>
      <w:rPr>
        <w:rFonts w:ascii="Arial" w:eastAsia="Arial" w:hAnsi="Arial" w:cs="Arial"/>
        <w:color w:val="000000"/>
        <w:sz w:val="18"/>
        <w:szCs w:val="18"/>
      </w:rPr>
      <w:tab/>
      <w:t>m2paris@ryerson.ca</w:t>
    </w:r>
    <w:r>
      <w:rPr>
        <w:rFonts w:ascii="Arial" w:eastAsia="Arial" w:hAnsi="Arial" w:cs="Arial"/>
        <w:color w:val="000000"/>
        <w:sz w:val="18"/>
        <w:szCs w:val="18"/>
      </w:rPr>
      <w:tab/>
      <w:t>ryerson.ca/ds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AF" w:rsidRDefault="009A7AAF">
      <w:pPr>
        <w:spacing w:after="0" w:line="240" w:lineRule="auto"/>
      </w:pPr>
      <w:r>
        <w:separator/>
      </w:r>
    </w:p>
  </w:footnote>
  <w:footnote w:type="continuationSeparator" w:id="0">
    <w:p w:rsidR="009A7AAF" w:rsidRDefault="009A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E0" w:rsidRDefault="009A7AAF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right" w:pos="8624"/>
      </w:tabs>
      <w:spacing w:line="240" w:lineRule="auto"/>
      <w:ind w:right="-360"/>
      <w:rPr>
        <w:color w:val="000000"/>
        <w:sz w:val="28"/>
        <w:szCs w:val="28"/>
      </w:rPr>
    </w:pPr>
    <w:r>
      <w:rPr>
        <w:noProof/>
        <w:color w:val="000000"/>
        <w:sz w:val="24"/>
        <w:szCs w:val="24"/>
      </w:rPr>
      <w:drawing>
        <wp:inline distT="0" distB="0" distL="0" distR="0">
          <wp:extent cx="2705100" cy="54102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51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A39E2"/>
    <w:multiLevelType w:val="multilevel"/>
    <w:tmpl w:val="C9BCAB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D8192D"/>
    <w:multiLevelType w:val="multilevel"/>
    <w:tmpl w:val="2424EF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E5488D"/>
    <w:multiLevelType w:val="multilevel"/>
    <w:tmpl w:val="33769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150524"/>
    <w:multiLevelType w:val="multilevel"/>
    <w:tmpl w:val="F1644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E0"/>
    <w:rsid w:val="000C6BE0"/>
    <w:rsid w:val="004C5586"/>
    <w:rsid w:val="009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F70C6-F14A-4EE6-85E2-8093A233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64" w:lineRule="auto"/>
      <w:outlineLvl w:val="0"/>
    </w:pPr>
    <w:rPr>
      <w:rFonts w:ascii="Arial" w:eastAsia="Arial" w:hAnsi="Arial" w:cs="Arial"/>
      <w:b/>
      <w:color w:val="00000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bottom w:val="single" w:sz="4" w:space="1" w:color="000000"/>
      </w:pBdr>
      <w:spacing w:before="400" w:after="120" w:line="264" w:lineRule="auto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bottom w:val="none" w:sz="0" w:space="0" w:color="000000"/>
      </w:pBdr>
      <w:spacing w:before="400" w:after="120" w:line="264" w:lineRule="auto"/>
      <w:outlineLvl w:val="2"/>
    </w:pPr>
    <w:rPr>
      <w:rFonts w:ascii="Arial" w:eastAsia="Arial" w:hAnsi="Arial" w:cs="Arial"/>
      <w:b/>
      <w:color w:val="000000"/>
      <w:sz w:val="25"/>
      <w:szCs w:val="25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80" w:after="80" w:line="264" w:lineRule="auto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A2D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D8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312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5DDD"/>
    <w:rPr>
      <w:b/>
      <w:bCs/>
    </w:rPr>
  </w:style>
  <w:style w:type="paragraph" w:styleId="NormalWeb">
    <w:name w:val="Normal (Web)"/>
    <w:basedOn w:val="Normal"/>
    <w:uiPriority w:val="99"/>
    <w:unhideWhenUsed/>
    <w:rsid w:val="003F5DD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r-only">
    <w:name w:val="sr-only"/>
    <w:basedOn w:val="DefaultParagraphFont"/>
    <w:rsid w:val="003F5DDD"/>
  </w:style>
  <w:style w:type="paragraph" w:styleId="BalloonText">
    <w:name w:val="Balloon Text"/>
    <w:basedOn w:val="Normal"/>
    <w:link w:val="BalloonTextChar"/>
    <w:uiPriority w:val="99"/>
    <w:semiHidden/>
    <w:unhideWhenUsed/>
    <w:rsid w:val="0087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F1"/>
  </w:style>
  <w:style w:type="paragraph" w:styleId="Footer">
    <w:name w:val="footer"/>
    <w:basedOn w:val="Normal"/>
    <w:link w:val="FooterChar"/>
    <w:uiPriority w:val="99"/>
    <w:unhideWhenUsed/>
    <w:rsid w:val="003B0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F1"/>
  </w:style>
  <w:style w:type="paragraph" w:styleId="ListParagraph">
    <w:name w:val="List Paragraph"/>
    <w:basedOn w:val="Normal"/>
    <w:uiPriority w:val="34"/>
    <w:qFormat/>
    <w:rsid w:val="000D2D76"/>
    <w:pPr>
      <w:ind w:left="720"/>
      <w:contextualSpacing/>
    </w:p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rontomu.ca/current-students/course-enrolment/" TargetMode="External"/><Relationship Id="rId18" Type="http://schemas.openxmlformats.org/officeDocument/2006/relationships/hyperlink" Target="https://www.torontomu.ca/myservicehub-support/students/getting-started/" TargetMode="External"/><Relationship Id="rId26" Type="http://schemas.openxmlformats.org/officeDocument/2006/relationships/hyperlink" Target="https://www.torontomu.ca/myservicehub-support/students/academics/how-to-enro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orontomu.ca/myservicehub-support/students/getting-started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orontomu.ca/myservicehub-support/students/academics/advisement-report/" TargetMode="External"/><Relationship Id="rId17" Type="http://schemas.openxmlformats.org/officeDocument/2006/relationships/hyperlink" Target="https://my.torontomu.ca/uPortal/f/u21l1s1000/normal/render.uP" TargetMode="External"/><Relationship Id="rId25" Type="http://schemas.openxmlformats.org/officeDocument/2006/relationships/hyperlink" Target="https://www.torontomu.ca/calendar/2024-2025/programs/community/disability_studie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orontomu.ca/content/ryerson/ccs/services/accounts/online_resources/" TargetMode="External"/><Relationship Id="rId20" Type="http://schemas.openxmlformats.org/officeDocument/2006/relationships/hyperlink" Target="https://www.torontomu.ca/current-students/" TargetMode="External"/><Relationship Id="rId29" Type="http://schemas.openxmlformats.org/officeDocument/2006/relationships/hyperlink" Target="https://www.torontomu.ca/accommodations/registr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rontomu.ca/current-students/documents-letters/proof-of-enrolment/" TargetMode="External"/><Relationship Id="rId24" Type="http://schemas.openxmlformats.org/officeDocument/2006/relationships/hyperlink" Target="https://www.torontomu.ca/calendar/2024-2025/programs/community/disability_studies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torontomu.ca/accounts/students/" TargetMode="External"/><Relationship Id="rId23" Type="http://schemas.openxmlformats.org/officeDocument/2006/relationships/hyperlink" Target="https://www.torontomu.ca/calendar/2024-2025/" TargetMode="External"/><Relationship Id="rId28" Type="http://schemas.openxmlformats.org/officeDocument/2006/relationships/hyperlink" Target="https://www.torontomu.ca/accommodations/" TargetMode="External"/><Relationship Id="rId10" Type="http://schemas.openxmlformats.org/officeDocument/2006/relationships/hyperlink" Target="https://www.torontomu.ca/accommodations/" TargetMode="External"/><Relationship Id="rId19" Type="http://schemas.openxmlformats.org/officeDocument/2006/relationships/hyperlink" Target="https://www.torontomu.ca/ccs/services/ITSecurity/protecting-your-identity/two-factor-authentication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orontomu.ca/student-financial-assistance/osap/" TargetMode="External"/><Relationship Id="rId14" Type="http://schemas.openxmlformats.org/officeDocument/2006/relationships/hyperlink" Target="https://www.torontomu.ca/calendar/2023-2024/programs/community/disability_studies/" TargetMode="External"/><Relationship Id="rId22" Type="http://schemas.openxmlformats.org/officeDocument/2006/relationships/hyperlink" Target="https://www.torontomu.ca/servicehub/" TargetMode="External"/><Relationship Id="rId27" Type="http://schemas.openxmlformats.org/officeDocument/2006/relationships/hyperlink" Target="https://www.torontomu.ca/myservicehub-support/students/academics/advisement-report/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torontomu.ca/current-students/course-enrolment/course-inten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xwXEIGOwrTl3IJwbOrQx0+7fBg==">CgMxLjAyCGguZ2pkZ3hzOAByITE3TG5qa1hyVUozd00xSS1IQS1mcHhpc2VZTno4V2llSQ==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 Master-McRae</dc:creator>
  <cp:lastModifiedBy>mmcgreevy</cp:lastModifiedBy>
  <cp:revision>2</cp:revision>
  <dcterms:created xsi:type="dcterms:W3CDTF">2024-03-08T20:39:00Z</dcterms:created>
  <dcterms:modified xsi:type="dcterms:W3CDTF">2024-03-08T20:39:00Z</dcterms:modified>
</cp:coreProperties>
</file>